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976CC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             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合同编号：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</w:t>
      </w:r>
    </w:p>
    <w:p w14:paraId="36BDFAD3">
      <w:pPr>
        <w:pStyle w:val="2"/>
        <w:spacing w:before="140" w:line="604" w:lineRule="exact"/>
        <w:jc w:val="both"/>
        <w:outlineLvl w:val="0"/>
        <w:rPr>
          <w:rFonts w:hint="eastAsia"/>
          <w:b/>
          <w:bCs/>
          <w:spacing w:val="4"/>
          <w:position w:val="3"/>
          <w:sz w:val="72"/>
          <w:szCs w:val="72"/>
          <w:lang w:val="en-US" w:eastAsia="zh-CN"/>
        </w:rPr>
      </w:pPr>
    </w:p>
    <w:p w14:paraId="14E2C7E3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72"/>
          <w:szCs w:val="72"/>
          <w:lang w:val="en-US" w:eastAsia="zh-CN"/>
        </w:rPr>
      </w:pPr>
    </w:p>
    <w:p w14:paraId="61BE98F3">
      <w:pPr>
        <w:pStyle w:val="2"/>
        <w:spacing w:before="140" w:line="604" w:lineRule="exact"/>
        <w:jc w:val="center"/>
        <w:outlineLvl w:val="0"/>
        <w:rPr>
          <w:sz w:val="72"/>
          <w:szCs w:val="72"/>
        </w:rPr>
      </w:pPr>
      <w:r>
        <w:rPr>
          <w:rFonts w:hint="eastAsia"/>
          <w:b/>
          <w:bCs/>
          <w:spacing w:val="4"/>
          <w:position w:val="3"/>
          <w:sz w:val="72"/>
          <w:szCs w:val="72"/>
          <w:lang w:val="en-US" w:eastAsia="zh-CN"/>
        </w:rPr>
        <w:t>管理体系</w:t>
      </w:r>
      <w:r>
        <w:rPr>
          <w:b/>
          <w:bCs/>
          <w:spacing w:val="4"/>
          <w:position w:val="3"/>
          <w:sz w:val="72"/>
          <w:szCs w:val="72"/>
        </w:rPr>
        <w:t>认证合同</w:t>
      </w:r>
    </w:p>
    <w:p w14:paraId="1B0B0E9D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28"/>
          <w:szCs w:val="28"/>
          <w:lang w:val="en-US" w:eastAsia="zh-CN"/>
        </w:rPr>
      </w:pPr>
      <w:r>
        <w:rPr>
          <w:rFonts w:hint="eastAsia"/>
          <w:b/>
          <w:bCs/>
          <w:spacing w:val="4"/>
          <w:position w:val="3"/>
          <w:sz w:val="28"/>
          <w:szCs w:val="28"/>
          <w:lang w:val="en-US" w:eastAsia="zh-CN"/>
        </w:rPr>
        <w:t>Contract for Management System Certification</w:t>
      </w:r>
    </w:p>
    <w:p w14:paraId="2780C13D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13A9E485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222063F0">
      <w:pPr>
        <w:pStyle w:val="2"/>
        <w:spacing w:before="140" w:line="604" w:lineRule="exact"/>
        <w:jc w:val="both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2FCF0693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  <w:bookmarkStart w:id="0" w:name="_GoBack"/>
      <w:bookmarkEnd w:id="0"/>
    </w:p>
    <w:p w14:paraId="5FD679A4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7BA9FF22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370D7BD3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0829C38B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0A001952">
      <w:pPr>
        <w:pStyle w:val="2"/>
        <w:spacing w:before="140" w:line="604" w:lineRule="exact"/>
        <w:ind w:firstLine="1478" w:firstLineChars="400"/>
        <w:jc w:val="both"/>
        <w:outlineLvl w:val="0"/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lang w:val="en-US" w:eastAsia="zh-CN"/>
        </w:rPr>
        <w:t>甲方：</w:t>
      </w:r>
      <w:r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lang w:val="en-US" w:eastAsia="zh-CN"/>
        </w:rPr>
        <w:t xml:space="preserve">    </w:t>
      </w:r>
    </w:p>
    <w:p w14:paraId="18A75628">
      <w:pPr>
        <w:pStyle w:val="2"/>
        <w:spacing w:before="140" w:line="604" w:lineRule="exact"/>
        <w:ind w:firstLine="1478" w:firstLineChars="400"/>
        <w:jc w:val="both"/>
        <w:outlineLvl w:val="0"/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lang w:val="en-US" w:eastAsia="zh-CN"/>
        </w:rPr>
        <w:t>乙方:安徽中青检验认证服务有限公司</w:t>
      </w:r>
    </w:p>
    <w:p w14:paraId="370E14AC">
      <w:pPr>
        <w:pStyle w:val="2"/>
        <w:spacing w:before="140" w:line="604" w:lineRule="exact"/>
        <w:ind w:firstLine="1478" w:firstLineChars="400"/>
        <w:jc w:val="both"/>
        <w:outlineLvl w:val="0"/>
        <w:rPr>
          <w:rFonts w:hint="default" w:ascii="仿宋" w:hAnsi="仿宋" w:eastAsia="仿宋" w:cs="仿宋"/>
          <w:b/>
          <w:bCs/>
          <w:spacing w:val="4"/>
          <w:position w:val="3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lang w:val="en-US" w:eastAsia="zh-CN"/>
        </w:rPr>
        <w:t>签订地点:</w:t>
      </w:r>
      <w:r>
        <w:rPr>
          <w:rFonts w:hint="eastAsia" w:ascii="仿宋" w:hAnsi="仿宋" w:eastAsia="仿宋" w:cs="仿宋"/>
          <w:b/>
          <w:bCs/>
          <w:spacing w:val="4"/>
          <w:position w:val="3"/>
          <w:sz w:val="36"/>
          <w:szCs w:val="36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/>
          <w:bCs/>
          <w:spacing w:val="4"/>
          <w:position w:val="3"/>
          <w:sz w:val="32"/>
          <w:szCs w:val="32"/>
          <w:u w:val="single"/>
          <w:lang w:val="en-US" w:eastAsia="zh-CN"/>
        </w:rPr>
        <w:t xml:space="preserve">  </w:t>
      </w:r>
    </w:p>
    <w:p w14:paraId="1220E47C">
      <w:pPr>
        <w:pStyle w:val="2"/>
        <w:spacing w:before="140" w:line="604" w:lineRule="exact"/>
        <w:jc w:val="center"/>
        <w:outlineLvl w:val="0"/>
        <w:rPr>
          <w:rFonts w:hint="eastAsia" w:ascii="仿宋" w:hAnsi="仿宋" w:eastAsia="仿宋" w:cs="仿宋"/>
          <w:b/>
          <w:bCs/>
          <w:spacing w:val="4"/>
          <w:position w:val="3"/>
          <w:sz w:val="28"/>
          <w:szCs w:val="28"/>
          <w:lang w:val="en-US" w:eastAsia="zh-CN"/>
        </w:rPr>
      </w:pPr>
    </w:p>
    <w:p w14:paraId="3B332EB5">
      <w:pPr>
        <w:pStyle w:val="2"/>
        <w:spacing w:before="140" w:line="604" w:lineRule="exact"/>
        <w:jc w:val="center"/>
        <w:outlineLvl w:val="0"/>
        <w:rPr>
          <w:rFonts w:hint="eastAsia"/>
          <w:b/>
          <w:bCs/>
          <w:spacing w:val="4"/>
          <w:position w:val="3"/>
          <w:sz w:val="43"/>
          <w:szCs w:val="43"/>
          <w:lang w:val="en-US" w:eastAsia="zh-CN"/>
        </w:rPr>
      </w:pPr>
    </w:p>
    <w:p w14:paraId="42D5F3F7">
      <w:pPr>
        <w:spacing w:line="328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</w:t>
      </w:r>
    </w:p>
    <w:p w14:paraId="08917204">
      <w:pPr>
        <w:spacing w:line="328" w:lineRule="auto"/>
        <w:rPr>
          <w:rFonts w:hint="eastAsia" w:ascii="仿宋" w:hAnsi="仿宋" w:eastAsia="仿宋" w:cs="仿宋"/>
          <w:b/>
          <w:bCs/>
          <w:sz w:val="24"/>
          <w:szCs w:val="24"/>
        </w:rPr>
      </w:pPr>
    </w:p>
    <w:p w14:paraId="17F988AB">
      <w:pPr>
        <w:spacing w:line="328" w:lineRule="auto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甲方（申请/获证组织）：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</w:t>
      </w:r>
    </w:p>
    <w:p w14:paraId="32EDF00B">
      <w:pPr>
        <w:spacing w:line="328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统一社会信用代码：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              </w:t>
      </w:r>
    </w:p>
    <w:p w14:paraId="63C9F4A9">
      <w:pPr>
        <w:spacing w:line="328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住所/实际经营地址：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</w:t>
      </w:r>
    </w:p>
    <w:p w14:paraId="4B0E702D">
      <w:pPr>
        <w:spacing w:line="328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联系人及联系方式：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</w:t>
      </w:r>
    </w:p>
    <w:p w14:paraId="23D769BD">
      <w:pPr>
        <w:spacing w:line="328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乙方（认证机构）：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安徽中青检验认证服务有限公司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 w14:paraId="1700C910">
      <w:pPr>
        <w:spacing w:line="328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统一社会信用代码：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91340100MA2NNRLT14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 w14:paraId="64435712">
      <w:pPr>
        <w:spacing w:line="328" w:lineRule="auto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认证机构批准号：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CNCA-R-2018-380</w:t>
      </w:r>
    </w:p>
    <w:p w14:paraId="1032E478">
      <w:pPr>
        <w:spacing w:line="328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住所：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安徽省合肥市高新区蜀麓社区服务中心浮山路33号行政楼3楼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</w:t>
      </w:r>
    </w:p>
    <w:p w14:paraId="10D1A19C">
      <w:pPr>
        <w:spacing w:line="328" w:lineRule="auto"/>
        <w:rPr>
          <w:rFonts w:hint="eastAsia" w:ascii="仿宋" w:hAnsi="仿宋" w:eastAsia="仿宋" w:cs="仿宋"/>
          <w:b/>
          <w:bCs/>
          <w:spacing w:val="7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联系人及联系方式：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     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</w:p>
    <w:p w14:paraId="7FC29472">
      <w:pPr>
        <w:pStyle w:val="2"/>
        <w:spacing w:before="60" w:line="359" w:lineRule="auto"/>
        <w:ind w:left="22" w:right="28" w:firstLine="450" w:firstLineChars="200"/>
        <w:jc w:val="both"/>
        <w:rPr>
          <w:rFonts w:hint="eastAsia" w:ascii="仿宋" w:hAnsi="仿宋" w:eastAsia="仿宋" w:cs="仿宋"/>
          <w:b/>
          <w:bCs/>
          <w:spacing w:val="7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7"/>
          <w:sz w:val="21"/>
          <w:szCs w:val="21"/>
        </w:rPr>
        <w:t>特别提示：本合同中涉及费用扣除、证书暂停/撤销/注销、责任限制、违约责任、认证标志使用限制、争议解决等与双方重大利害关系的条款，</w:t>
      </w:r>
      <w:r>
        <w:rPr>
          <w:rFonts w:hint="eastAsia" w:ascii="仿宋" w:hAnsi="仿宋" w:eastAsia="仿宋" w:cs="仿宋"/>
          <w:b/>
          <w:bCs/>
          <w:color w:val="auto"/>
          <w:spacing w:val="7"/>
          <w:sz w:val="21"/>
          <w:szCs w:val="21"/>
        </w:rPr>
        <w:t>已加粗标题</w:t>
      </w:r>
      <w:r>
        <w:rPr>
          <w:rFonts w:hint="eastAsia" w:ascii="仿宋" w:hAnsi="仿宋" w:eastAsia="仿宋" w:cs="仿宋"/>
          <w:b/>
          <w:bCs/>
          <w:spacing w:val="7"/>
          <w:sz w:val="21"/>
          <w:szCs w:val="21"/>
        </w:rPr>
        <w:t>或单独条款方式提示。双方确认已充分阅读、理解并协商确认。</w:t>
      </w:r>
    </w:p>
    <w:p w14:paraId="0D8ACDAA">
      <w:pPr>
        <w:pStyle w:val="2"/>
        <w:spacing w:before="60" w:line="360" w:lineRule="auto"/>
        <w:ind w:left="22" w:right="28" w:firstLine="448" w:firstLineChars="200"/>
        <w:jc w:val="both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7"/>
          <w:sz w:val="21"/>
          <w:szCs w:val="21"/>
        </w:rPr>
        <w:t>鉴于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为依法设立并具备相应资质的认证机构，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拟申请相关认证服务。双方依据《中华人民共和国民法典》《中华人民共和国认证认可条例》《认证机构管理办法》《认证证书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和认证标志管理办法》《合同行政监督管理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办法》及相关认证规则、标准，在平等、</w:t>
      </w:r>
      <w:r>
        <w:rPr>
          <w:rFonts w:hint="eastAsia" w:ascii="仿宋" w:hAnsi="仿宋" w:eastAsia="仿宋" w:cs="仿宋"/>
          <w:spacing w:val="-46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自愿、公平、诚信基础上订立本合同。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获得批准开展认证活动的项目资质和认证机构批准书有</w:t>
      </w:r>
      <w:r>
        <w:rPr>
          <w:rFonts w:hint="eastAsia" w:ascii="仿宋" w:hAnsi="仿宋" w:eastAsia="仿宋" w:cs="仿宋"/>
          <w:spacing w:val="13"/>
          <w:sz w:val="21"/>
          <w:szCs w:val="21"/>
        </w:rPr>
        <w:t>效期可以在国家认监委官方网站</w:t>
      </w:r>
      <w:r>
        <w:rPr>
          <w:rFonts w:hint="eastAsia" w:ascii="仿宋" w:hAnsi="仿宋" w:eastAsia="仿宋" w:cs="仿宋"/>
          <w:sz w:val="21"/>
          <w:szCs w:val="21"/>
        </w:rPr>
        <w:fldChar w:fldCharType="begin"/>
      </w:r>
      <w:r>
        <w:rPr>
          <w:rFonts w:hint="eastAsia" w:ascii="仿宋" w:hAnsi="仿宋" w:eastAsia="仿宋" w:cs="仿宋"/>
          <w:sz w:val="21"/>
          <w:szCs w:val="21"/>
        </w:rPr>
        <w:instrText xml:space="preserve"> HYPERLINK "https://www.cnca.gov.cn" </w:instrText>
      </w:r>
      <w:r>
        <w:rPr>
          <w:rFonts w:hint="eastAsia" w:ascii="仿宋" w:hAnsi="仿宋" w:eastAsia="仿宋" w:cs="仿宋"/>
          <w:sz w:val="21"/>
          <w:szCs w:val="21"/>
        </w:rPr>
        <w:fldChar w:fldCharType="separate"/>
      </w:r>
      <w:r>
        <w:rPr>
          <w:rFonts w:hint="eastAsia" w:ascii="仿宋" w:hAnsi="仿宋" w:eastAsia="仿宋" w:cs="仿宋"/>
          <w:sz w:val="21"/>
          <w:szCs w:val="21"/>
        </w:rPr>
        <w:t>www</w:t>
      </w:r>
      <w:r>
        <w:rPr>
          <w:rFonts w:hint="eastAsia" w:ascii="仿宋" w:hAnsi="仿宋" w:eastAsia="仿宋" w:cs="仿宋"/>
          <w:spacing w:val="13"/>
          <w:sz w:val="21"/>
          <w:szCs w:val="21"/>
        </w:rPr>
        <w:t>.</w:t>
      </w:r>
      <w:r>
        <w:rPr>
          <w:rFonts w:hint="eastAsia" w:ascii="仿宋" w:hAnsi="仿宋" w:eastAsia="仿宋" w:cs="仿宋"/>
          <w:sz w:val="21"/>
          <w:szCs w:val="21"/>
        </w:rPr>
        <w:t>cnca</w:t>
      </w:r>
      <w:r>
        <w:rPr>
          <w:rFonts w:hint="eastAsia" w:ascii="仿宋" w:hAnsi="仿宋" w:eastAsia="仿宋" w:cs="仿宋"/>
          <w:spacing w:val="13"/>
          <w:sz w:val="21"/>
          <w:szCs w:val="21"/>
        </w:rPr>
        <w:t>.</w:t>
      </w:r>
      <w:r>
        <w:rPr>
          <w:rFonts w:hint="eastAsia" w:ascii="仿宋" w:hAnsi="仿宋" w:eastAsia="仿宋" w:cs="仿宋"/>
          <w:sz w:val="21"/>
          <w:szCs w:val="21"/>
        </w:rPr>
        <w:t>gov</w:t>
      </w:r>
      <w:r>
        <w:rPr>
          <w:rFonts w:hint="eastAsia" w:ascii="仿宋" w:hAnsi="仿宋" w:eastAsia="仿宋" w:cs="仿宋"/>
          <w:spacing w:val="13"/>
          <w:sz w:val="21"/>
          <w:szCs w:val="21"/>
        </w:rPr>
        <w:t>.</w:t>
      </w:r>
      <w:r>
        <w:rPr>
          <w:rFonts w:hint="eastAsia" w:ascii="仿宋" w:hAnsi="仿宋" w:eastAsia="仿宋" w:cs="仿宋"/>
          <w:sz w:val="21"/>
          <w:szCs w:val="21"/>
        </w:rPr>
        <w:t>cn</w:t>
      </w:r>
      <w:r>
        <w:rPr>
          <w:rFonts w:hint="eastAsia" w:ascii="仿宋" w:hAnsi="仿宋" w:eastAsia="仿宋" w:cs="仿宋"/>
          <w:sz w:val="21"/>
          <w:szCs w:val="21"/>
        </w:rPr>
        <w:fldChar w:fldCharType="end"/>
      </w:r>
      <w:r>
        <w:rPr>
          <w:rFonts w:hint="eastAsia" w:ascii="仿宋" w:hAnsi="仿宋" w:eastAsia="仿宋" w:cs="仿宋"/>
          <w:spacing w:val="-32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13"/>
          <w:sz w:val="21"/>
          <w:szCs w:val="21"/>
        </w:rPr>
        <w:t>查询。</w:t>
      </w:r>
    </w:p>
    <w:p w14:paraId="7B4816B8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第一条 认证对象和认证范围</w:t>
      </w:r>
    </w:p>
    <w:p w14:paraId="18D96B52">
      <w:pPr>
        <w:pStyle w:val="2"/>
        <w:spacing w:before="179" w:line="332" w:lineRule="auto"/>
        <w:ind w:left="384" w:right="156" w:hanging="347"/>
        <w:rPr>
          <w:rFonts w:hint="eastAsia" w:ascii="仿宋" w:hAnsi="仿宋" w:eastAsia="仿宋" w:cs="仿宋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1.认证类型：</w:t>
      </w:r>
      <w:r>
        <w:rPr>
          <w:rFonts w:hint="eastAsia" w:ascii="仿宋" w:hAnsi="仿宋" w:eastAsia="仿宋" w:cs="仿宋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□质量管理体系</w:t>
      </w:r>
      <w:r>
        <w:rPr>
          <w:rFonts w:hint="eastAsia" w:ascii="仿宋" w:hAnsi="仿宋" w:eastAsia="仿宋" w:cs="仿宋"/>
          <w:spacing w:val="37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  <w:lang w:eastAsia="zh-CN"/>
        </w:rPr>
        <w:t>□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环境管理体系</w:t>
      </w:r>
      <w:r>
        <w:rPr>
          <w:rFonts w:hint="eastAsia" w:ascii="仿宋" w:hAnsi="仿宋" w:eastAsia="仿宋" w:cs="仿宋"/>
          <w:spacing w:val="37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□职业健康安全管理体系</w:t>
      </w:r>
      <w:r>
        <w:rPr>
          <w:rFonts w:hint="eastAsia" w:ascii="仿宋" w:hAnsi="仿宋" w:eastAsia="仿宋" w:cs="仿宋"/>
          <w:spacing w:val="37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  <w:lang w:val="en-US" w:eastAsia="zh-CN"/>
        </w:rPr>
        <w:t>食品安全管理体系</w:t>
      </w:r>
      <w:r>
        <w:rPr>
          <w:rFonts w:hint="eastAsia" w:ascii="仿宋" w:hAnsi="仿宋" w:eastAsia="仿宋" w:cs="仿宋"/>
          <w:spacing w:val="38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  <w:lang w:val="en-US" w:eastAsia="zh-CN"/>
        </w:rPr>
        <w:t xml:space="preserve">HACCP 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  <w:lang w:val="en-US" w:eastAsia="zh-CN"/>
        </w:rPr>
        <w:t xml:space="preserve">测量管理体系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  <w:lang w:val="en-US" w:eastAsia="zh-CN"/>
        </w:rPr>
        <w:t xml:space="preserve">供应链安全管理体系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  <w:lang w:val="en-US" w:eastAsia="zh-CN"/>
        </w:rPr>
        <w:t xml:space="preserve">企业诚信管理体系 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  <w:lang w:val="en-US" w:eastAsia="zh-CN"/>
        </w:rPr>
        <w:t xml:space="preserve">社会责任管理体系 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  <w:lang w:val="en-US" w:eastAsia="zh-CN"/>
        </w:rPr>
        <w:t xml:space="preserve">食品可追溯管理体系  </w:t>
      </w:r>
      <w:r>
        <w:rPr>
          <w:rFonts w:hint="eastAsia" w:ascii="仿宋" w:hAnsi="仿宋" w:eastAsia="仿宋" w:cs="仿宋"/>
          <w:color w:val="auto"/>
          <w:spacing w:val="3"/>
          <w:sz w:val="21"/>
          <w:szCs w:val="21"/>
          <w:highlight w:val="none"/>
          <w:lang w:eastAsia="zh-CN"/>
        </w:rPr>
        <w:t>□</w:t>
      </w:r>
      <w:r>
        <w:rPr>
          <w:rFonts w:hint="eastAsia" w:ascii="仿宋" w:hAnsi="仿宋" w:eastAsia="仿宋" w:cs="仿宋"/>
          <w:color w:val="auto"/>
          <w:spacing w:val="3"/>
          <w:sz w:val="21"/>
          <w:szCs w:val="21"/>
          <w:highlight w:val="none"/>
        </w:rPr>
        <w:t>其他：</w:t>
      </w:r>
      <w:r>
        <w:rPr>
          <w:rFonts w:hint="eastAsia" w:ascii="仿宋" w:hAnsi="仿宋" w:eastAsia="仿宋" w:cs="仿宋"/>
          <w:color w:val="auto"/>
          <w:spacing w:val="4"/>
          <w:sz w:val="21"/>
          <w:szCs w:val="21"/>
          <w:highlight w:val="none"/>
          <w:u w:val="single" w:color="auto"/>
        </w:rPr>
        <w:t xml:space="preserve">   </w:t>
      </w:r>
      <w:r>
        <w:rPr>
          <w:rFonts w:hint="eastAsia" w:ascii="仿宋" w:hAnsi="仿宋" w:eastAsia="仿宋" w:cs="仿宋"/>
          <w:color w:val="auto"/>
          <w:spacing w:val="4"/>
          <w:sz w:val="21"/>
          <w:szCs w:val="21"/>
          <w:highlight w:val="none"/>
          <w:u w:val="single" w:color="auto"/>
          <w:lang w:val="en-US" w:eastAsia="zh-CN"/>
        </w:rPr>
        <w:t>/</w:t>
      </w:r>
      <w:r>
        <w:rPr>
          <w:rFonts w:hint="eastAsia" w:ascii="仿宋" w:hAnsi="仿宋" w:eastAsia="仿宋" w:cs="仿宋"/>
          <w:color w:val="auto"/>
          <w:spacing w:val="4"/>
          <w:sz w:val="21"/>
          <w:szCs w:val="21"/>
          <w:highlight w:val="none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3"/>
          <w:sz w:val="21"/>
          <w:szCs w:val="21"/>
          <w:highlight w:val="none"/>
        </w:rPr>
        <w:t>。</w:t>
      </w:r>
    </w:p>
    <w:p w14:paraId="24E8A50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0" w:hanging="357"/>
        <w:textAlignment w:val="baseline"/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2.认证依据标准</w:t>
      </w:r>
      <w:r>
        <w:rPr>
          <w:rFonts w:hint="eastAsia" w:ascii="仿宋" w:hAnsi="仿宋" w:eastAsia="仿宋" w:cs="仿宋"/>
          <w:spacing w:val="-5"/>
          <w:sz w:val="21"/>
          <w:szCs w:val="21"/>
          <w:highlight w:val="none"/>
        </w:rPr>
        <w:t>：（</w:t>
      </w:r>
      <w:r>
        <w:rPr>
          <w:rFonts w:hint="eastAsia" w:ascii="仿宋" w:hAnsi="仿宋" w:eastAsia="仿宋" w:cs="仿宋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  <w:lang w:eastAsia="zh-CN"/>
        </w:rPr>
        <w:t>□</w:t>
      </w:r>
      <w:r>
        <w:rPr>
          <w:rFonts w:hint="eastAsia" w:ascii="仿宋" w:hAnsi="仿宋" w:eastAsia="仿宋" w:cs="仿宋"/>
          <w:sz w:val="21"/>
          <w:szCs w:val="21"/>
          <w:highlight w:val="none"/>
        </w:rPr>
        <w:t>ISO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9001、</w:t>
      </w:r>
      <w:r>
        <w:rPr>
          <w:rFonts w:hint="eastAsia" w:ascii="仿宋" w:hAnsi="仿宋" w:eastAsia="仿宋" w:cs="仿宋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sz w:val="21"/>
          <w:szCs w:val="21"/>
          <w:highlight w:val="none"/>
        </w:rPr>
        <w:t>ISO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14001、</w:t>
      </w:r>
      <w:r>
        <w:rPr>
          <w:rFonts w:hint="eastAsia" w:ascii="仿宋" w:hAnsi="仿宋" w:eastAsia="仿宋" w:cs="仿宋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sz w:val="21"/>
          <w:szCs w:val="21"/>
          <w:highlight w:val="none"/>
        </w:rPr>
        <w:t>ISO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45001、</w:t>
      </w:r>
      <w:r>
        <w:rPr>
          <w:rFonts w:hint="eastAsia" w:ascii="仿宋" w:hAnsi="仿宋" w:eastAsia="仿宋" w:cs="仿宋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sz w:val="21"/>
          <w:szCs w:val="21"/>
          <w:highlight w:val="none"/>
        </w:rPr>
        <w:t>ISO22000: 2018</w:t>
      </w:r>
      <w:r>
        <w:rPr>
          <w:rFonts w:hint="eastAsia" w:ascii="仿宋" w:hAnsi="仿宋" w:eastAsia="仿宋" w:cs="仿宋"/>
          <w:sz w:val="21"/>
          <w:szCs w:val="21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  <w:t>认证要求（V1.0）、</w:t>
      </w:r>
      <w:r>
        <w:rPr>
          <w:rFonts w:hint="eastAsia" w:ascii="仿宋" w:hAnsi="仿宋" w:eastAsia="仿宋" w:cs="仿宋"/>
          <w:color w:val="auto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  <w:t>ISO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  <w:t>10012:2003、</w:t>
      </w:r>
      <w:r>
        <w:rPr>
          <w:rFonts w:hint="eastAsia" w:ascii="仿宋" w:hAnsi="仿宋" w:eastAsia="仿宋" w:cs="仿宋"/>
          <w:color w:val="auto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  <w:t>ISO 28000:2022、</w:t>
      </w:r>
      <w:r>
        <w:rPr>
          <w:rFonts w:hint="eastAsia" w:ascii="仿宋" w:hAnsi="仿宋" w:eastAsia="仿宋" w:cs="仿宋"/>
          <w:color w:val="auto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  <w:lang w:eastAsia="zh-CN"/>
        </w:rPr>
        <w:t>□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  <w:t>GB/T 31950-2023、</w:t>
      </w:r>
      <w:r>
        <w:rPr>
          <w:rFonts w:hint="eastAsia" w:ascii="仿宋" w:hAnsi="仿宋" w:eastAsia="仿宋" w:cs="仿宋"/>
          <w:color w:val="auto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  <w:t xml:space="preserve"> GB/T 39604-2020、 </w:t>
      </w:r>
      <w:r>
        <w:rPr>
          <w:rFonts w:hint="eastAsia" w:ascii="仿宋" w:hAnsi="仿宋" w:eastAsia="仿宋" w:cs="仿宋"/>
          <w:color w:val="auto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  <w:t>GB</w:t>
      </w:r>
      <w:r>
        <w:rPr>
          <w:rFonts w:hint="eastAsia" w:ascii="仿宋" w:hAnsi="仿宋" w:eastAsia="仿宋" w:cs="仿宋"/>
          <w:sz w:val="21"/>
          <w:szCs w:val="21"/>
          <w:highlight w:val="none"/>
          <w:lang w:eastAsia="zh-CN"/>
        </w:rPr>
        <w:t>/T 37029-2018、</w:t>
      </w:r>
      <w:r>
        <w:rPr>
          <w:rFonts w:hint="eastAsia" w:ascii="仿宋" w:hAnsi="仿宋" w:eastAsia="仿宋" w:cs="仿宋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□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  <w:lang w:val="en-US" w:eastAsia="zh-CN"/>
        </w:rPr>
        <w:t>其他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  <w:u w:val="single"/>
          <w:lang w:val="en-US" w:eastAsia="zh-CN"/>
        </w:rPr>
        <w:t xml:space="preserve">   /   </w:t>
      </w:r>
      <w:r>
        <w:rPr>
          <w:rFonts w:hint="eastAsia" w:ascii="仿宋" w:hAnsi="仿宋" w:eastAsia="仿宋" w:cs="仿宋"/>
          <w:spacing w:val="6"/>
          <w:sz w:val="21"/>
          <w:szCs w:val="21"/>
          <w:highlight w:val="none"/>
        </w:rPr>
        <w:t>等）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及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适用认证规则。</w:t>
      </w:r>
    </w:p>
    <w:p w14:paraId="1C7049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0" w:hanging="357"/>
        <w:textAlignment w:val="baseline"/>
        <w:rPr>
          <w:rFonts w:hint="eastAsia" w:ascii="仿宋" w:hAnsi="仿宋" w:eastAsia="仿宋" w:cs="仿宋"/>
          <w:spacing w:val="6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pacing w:val="7"/>
          <w:sz w:val="21"/>
          <w:szCs w:val="21"/>
        </w:rPr>
        <w:t>3.认证范围包括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在</w:t>
      </w:r>
      <w:r>
        <w:rPr>
          <w:rFonts w:hint="eastAsia" w:ascii="仿宋" w:hAnsi="仿宋" w:eastAsia="仿宋" w:cs="仿宋"/>
          <w:spacing w:val="7"/>
          <w:sz w:val="21"/>
          <w:szCs w:val="21"/>
          <w:u w:val="single" w:color="auto"/>
        </w:rPr>
        <w:t xml:space="preserve">    </w:t>
      </w:r>
      <w:r>
        <w:rPr>
          <w:rFonts w:hint="eastAsia" w:ascii="仿宋" w:hAnsi="仿宋" w:eastAsia="仿宋" w:cs="仿宋"/>
          <w:spacing w:val="7"/>
          <w:sz w:val="21"/>
          <w:szCs w:val="21"/>
          <w:u w:val="single" w:color="auto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pacing w:val="7"/>
          <w:sz w:val="21"/>
          <w:szCs w:val="21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92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场所</w:t>
      </w:r>
      <w:r>
        <w:rPr>
          <w:rFonts w:hint="eastAsia" w:ascii="仿宋" w:hAnsi="仿宋" w:eastAsia="仿宋" w:cs="仿宋"/>
          <w:spacing w:val="6"/>
          <w:sz w:val="21"/>
          <w:szCs w:val="21"/>
        </w:rPr>
        <w:t>从事的</w:t>
      </w:r>
      <w:r>
        <w:rPr>
          <w:rFonts w:hint="eastAsia" w:ascii="仿宋" w:hAnsi="仿宋" w:eastAsia="仿宋" w:cs="仿宋"/>
          <w:spacing w:val="-97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   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81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6"/>
          <w:sz w:val="21"/>
          <w:szCs w:val="21"/>
        </w:rPr>
        <w:t>活动/产品/服务及相关管理过程</w:t>
      </w:r>
      <w:r>
        <w:rPr>
          <w:rFonts w:hint="eastAsia" w:ascii="仿宋" w:hAnsi="仿宋" w:eastAsia="仿宋" w:cs="仿宋"/>
          <w:spacing w:val="6"/>
          <w:sz w:val="21"/>
          <w:szCs w:val="21"/>
          <w:lang w:eastAsia="zh-CN"/>
        </w:rPr>
        <w:t>。</w:t>
      </w:r>
    </w:p>
    <w:p w14:paraId="1A5DAD5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406" w:leftChars="116" w:right="56" w:hanging="162" w:hangingChars="71"/>
        <w:textAlignment w:val="baseline"/>
        <w:rPr>
          <w:rFonts w:hint="eastAsia" w:ascii="仿宋" w:hAnsi="仿宋" w:eastAsia="仿宋" w:cs="仿宋"/>
          <w:b/>
          <w:bCs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9"/>
          <w:sz w:val="21"/>
          <w:szCs w:val="21"/>
        </w:rPr>
        <w:t>（注：拟认证范围尚需经现场审核进一步确认，最终以</w:t>
      </w:r>
      <w:r>
        <w:rPr>
          <w:rFonts w:hint="eastAsia" w:ascii="仿宋" w:hAnsi="仿宋" w:eastAsia="仿宋" w:cs="仿宋"/>
          <w:b/>
          <w:bCs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b/>
          <w:bCs/>
          <w:spacing w:val="9"/>
          <w:sz w:val="21"/>
          <w:szCs w:val="21"/>
        </w:rPr>
        <w:t>认证评定的决定为准。）</w:t>
      </w:r>
    </w:p>
    <w:p w14:paraId="39D5AF1B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7" w:lineRule="auto"/>
        <w:ind w:left="21"/>
        <w:textAlignment w:val="baseline"/>
        <w:rPr>
          <w:rFonts w:hint="eastAsia" w:ascii="仿宋" w:hAnsi="仿宋" w:eastAsia="仿宋" w:cs="仿宋"/>
          <w:spacing w:val="5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5"/>
          <w:sz w:val="21"/>
          <w:szCs w:val="21"/>
        </w:rPr>
        <w:t>管理体系覆盖的总人数为</w:t>
      </w:r>
      <w:r>
        <w:rPr>
          <w:rFonts w:hint="eastAsia" w:ascii="仿宋" w:hAnsi="仿宋" w:eastAsia="仿宋" w:cs="仿宋"/>
          <w:spacing w:val="5"/>
          <w:sz w:val="21"/>
          <w:szCs w:val="21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-90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</w:rPr>
        <w:t>人。</w:t>
      </w:r>
    </w:p>
    <w:p w14:paraId="0198500E">
      <w:pPr>
        <w:pStyle w:val="2"/>
        <w:numPr>
          <w:ilvl w:val="0"/>
          <w:numId w:val="1"/>
        </w:numPr>
        <w:spacing w:before="194" w:line="360" w:lineRule="auto"/>
        <w:ind w:left="21"/>
        <w:rPr>
          <w:rFonts w:hint="eastAsia" w:ascii="仿宋" w:hAnsi="仿宋" w:eastAsia="仿宋" w:cs="仿宋"/>
          <w:spacing w:val="5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多场所组织应在附件中列明总部、分场所、活动类型、人数、班次、外包过程及抽样安排。</w:t>
      </w:r>
      <w:r>
        <w:rPr>
          <w:rFonts w:hint="eastAsia" w:ascii="仿宋" w:hAnsi="仿宋" w:eastAsia="仿宋" w:cs="仿宋"/>
          <w:spacing w:val="5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5"/>
          <w:sz w:val="21"/>
          <w:szCs w:val="21"/>
        </w:rPr>
        <w:t>保证未列入范围的场所或活动不使用本认证进行宣传。</w:t>
      </w:r>
    </w:p>
    <w:p w14:paraId="2B36CBAD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第二条 初次认证审核程序</w:t>
      </w:r>
    </w:p>
    <w:p w14:paraId="2CEFC44C">
      <w:pPr>
        <w:pStyle w:val="2"/>
        <w:numPr>
          <w:ilvl w:val="0"/>
          <w:numId w:val="1"/>
        </w:numPr>
        <w:spacing w:before="194" w:line="360" w:lineRule="auto"/>
        <w:ind w:left="21"/>
        <w:rPr>
          <w:rFonts w:hint="eastAsia" w:ascii="仿宋" w:hAnsi="仿宋" w:eastAsia="仿宋" w:cs="仿宋"/>
          <w:spacing w:val="5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初次认证一般包括第一阶段审核和第二阶段审核。第一阶段审核重点包括文件化信息、现场条件、内审和管理评审、法规符合性、第二阶段准备情况等。</w:t>
      </w:r>
    </w:p>
    <w:p w14:paraId="1E4D937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textAlignment w:val="baseline"/>
        <w:rPr>
          <w:rFonts w:hint="eastAsia" w:ascii="仿宋" w:hAnsi="仿宋" w:eastAsia="仿宋" w:cs="仿宋"/>
          <w:spacing w:val="5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第二阶段审核重点包括管理体系运行有效性、标准条款符合性、过程控制、目标指标、风险和机遇管理、法规符合性、 内审和管理评审有效性及持续改进。</w:t>
      </w:r>
    </w:p>
    <w:p w14:paraId="45DE93B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1"/>
        <w:textAlignment w:val="baseline"/>
        <w:rPr>
          <w:rFonts w:hint="eastAsia" w:ascii="仿宋" w:hAnsi="仿宋" w:eastAsia="仿宋" w:cs="仿宋"/>
          <w:spacing w:val="5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审核组提出的审核发现和推荐意见不等于最终认证决定。最终认证决定由</w:t>
      </w:r>
      <w:r>
        <w:rPr>
          <w:rFonts w:hint="eastAsia" w:ascii="仿宋" w:hAnsi="仿宋" w:eastAsia="仿宋" w:cs="仿宋"/>
          <w:spacing w:val="5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5"/>
          <w:sz w:val="21"/>
          <w:szCs w:val="21"/>
        </w:rPr>
        <w:t>按规定独立作出。</w:t>
      </w:r>
    </w:p>
    <w:p w14:paraId="1B290F45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第三条 监督审核和再认证</w:t>
      </w:r>
    </w:p>
    <w:p w14:paraId="21696EE9">
      <w:pPr>
        <w:pStyle w:val="2"/>
        <w:spacing w:before="178" w:line="332" w:lineRule="auto"/>
        <w:ind w:left="381" w:right="56" w:hanging="358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9.证书有效期内，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应按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认证规则接受监督审核。首次监督审核原则上应在初次认证决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定之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日起规定期限内完成。</w:t>
      </w:r>
    </w:p>
    <w:p w14:paraId="444BA5B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409" w:hanging="372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4"/>
          <w:sz w:val="21"/>
          <w:szCs w:val="21"/>
        </w:rPr>
        <w:t>10.证书有效期内，</w:t>
      </w:r>
      <w:r>
        <w:rPr>
          <w:rFonts w:hint="eastAsia" w:ascii="仿宋" w:hAnsi="仿宋" w:eastAsia="仿宋" w:cs="仿宋"/>
          <w:spacing w:val="4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4"/>
          <w:sz w:val="21"/>
          <w:szCs w:val="21"/>
        </w:rPr>
        <w:t>应按照有关认证法规、规范性文件和认证规则等要求实施监督审核，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未实施监督审核可能导致认证证书失效。</w:t>
      </w:r>
    </w:p>
    <w:p w14:paraId="023F15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6" w:right="56" w:hanging="349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11.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未按期接受监督审核或监督审核不符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合要求的，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可暂停、撤销证书或缩小认证</w:t>
      </w:r>
      <w:r>
        <w:rPr>
          <w:rFonts w:hint="eastAsia" w:ascii="仿宋" w:hAnsi="仿宋" w:eastAsia="仿宋" w:cs="仿宋"/>
          <w:spacing w:val="1"/>
          <w:sz w:val="21"/>
          <w:szCs w:val="21"/>
        </w:rPr>
        <w:t>范围。</w:t>
      </w:r>
    </w:p>
    <w:p w14:paraId="6233F13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1" w:lineRule="auto"/>
        <w:ind w:left="383" w:right="56" w:hanging="346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12.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拟保持证书连续有效的，应在证书有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效期届满前申请并完成再认证审核；未按期完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成的，证书连续性可能受到影响。</w:t>
      </w:r>
    </w:p>
    <w:p w14:paraId="7EA76C37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第四条 多场所和外包过程管理</w:t>
      </w:r>
    </w:p>
    <w:p w14:paraId="2CAFF7FA">
      <w:pPr>
        <w:pStyle w:val="2"/>
        <w:spacing w:before="180" w:line="334" w:lineRule="auto"/>
        <w:ind w:left="379" w:right="56" w:hanging="342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13.多场所认证中，总部应对各场所管理体系实施统一管理</w:t>
      </w:r>
      <w:r>
        <w:rPr>
          <w:rFonts w:hint="eastAsia" w:ascii="仿宋" w:hAnsi="仿宋" w:eastAsia="仿宋" w:cs="仿宋"/>
          <w:spacing w:val="7"/>
          <w:sz w:val="21"/>
          <w:szCs w:val="21"/>
        </w:rPr>
        <w:t>、内部审核、纠正措施和持续改</w:t>
      </w:r>
      <w:r>
        <w:rPr>
          <w:rFonts w:hint="eastAsia" w:ascii="仿宋" w:hAnsi="仿宋" w:eastAsia="仿宋" w:cs="仿宋"/>
          <w:spacing w:val="1"/>
          <w:sz w:val="21"/>
          <w:szCs w:val="21"/>
        </w:rPr>
        <w:t>进。</w:t>
      </w:r>
    </w:p>
    <w:p w14:paraId="69E00B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4" w:right="57" w:hanging="347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14.某一场所发生严重不符合、重大事故或重大投诉，可能影响整体证书有效性。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可扩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大抽样、实施特殊审核或调整认证范围。</w:t>
      </w:r>
    </w:p>
    <w:p w14:paraId="3C635F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3" w:right="57" w:hanging="346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15.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应识别并控制影响认证范围的外包过</w:t>
      </w:r>
      <w:r>
        <w:rPr>
          <w:rFonts w:hint="eastAsia" w:ascii="仿宋" w:hAnsi="仿宋" w:eastAsia="仿宋" w:cs="仿宋"/>
          <w:spacing w:val="7"/>
          <w:sz w:val="21"/>
          <w:szCs w:val="21"/>
        </w:rPr>
        <w:t>程，确保外包过程符合适用标准和认证规则要</w:t>
      </w:r>
      <w:r>
        <w:rPr>
          <w:rFonts w:hint="eastAsia" w:ascii="仿宋" w:hAnsi="仿宋" w:eastAsia="仿宋" w:cs="仿宋"/>
          <w:spacing w:val="-1"/>
          <w:sz w:val="21"/>
          <w:szCs w:val="21"/>
        </w:rPr>
        <w:t>求。</w:t>
      </w:r>
    </w:p>
    <w:p w14:paraId="64DA3DD0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  <w:highlight w:val="none"/>
        </w:rPr>
        <w:t>第五条 管理体系证书和标志特别使用要求</w:t>
      </w:r>
    </w:p>
    <w:p w14:paraId="25D6168E">
      <w:pPr>
        <w:pStyle w:val="2"/>
        <w:spacing w:before="65" w:line="360" w:lineRule="auto"/>
        <w:ind w:left="381" w:right="71" w:hanging="344"/>
        <w:rPr>
          <w:rFonts w:hint="eastAsia" w:ascii="仿宋" w:hAnsi="仿宋" w:eastAsia="仿宋" w:cs="仿宋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16.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不得在产品、产品包装或可能使消费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者误认为产品本身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  <w:lang w:eastAsia="zh-CN"/>
        </w:rPr>
        <w:t>获得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认证的场景使用管理体系</w:t>
      </w:r>
      <w:r>
        <w:rPr>
          <w:rFonts w:hint="eastAsia" w:ascii="仿宋" w:hAnsi="仿宋" w:eastAsia="仿宋" w:cs="仿宋"/>
          <w:spacing w:val="5"/>
          <w:sz w:val="21"/>
          <w:szCs w:val="21"/>
          <w:highlight w:val="none"/>
        </w:rPr>
        <w:t>认证标志。</w:t>
      </w:r>
    </w:p>
    <w:p w14:paraId="138DBC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381" w:right="70" w:hanging="344"/>
        <w:textAlignment w:val="baseline"/>
        <w:rPr>
          <w:rFonts w:hint="eastAsia" w:ascii="仿宋" w:hAnsi="仿宋" w:eastAsia="仿宋" w:cs="仿宋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17.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在宣传中应完整、准确说明认证标准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、认证范围和获证主体，不得暗示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对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  <w:highlight w:val="none"/>
        </w:rPr>
        <w:t>产品质量、服务结果、商业信誉或法律合规作出担保。</w:t>
      </w:r>
    </w:p>
    <w:p w14:paraId="1FCFA1F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7" w:lineRule="auto"/>
        <w:ind w:left="488" w:leftChars="17" w:hanging="452" w:hangingChars="200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18.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不得将管理体系认证用于未覆盖场所、未覆盖业务、未覆盖子公司或关联公司。</w:t>
      </w:r>
    </w:p>
    <w:p w14:paraId="018DC573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第六条 双方通用权利义务</w:t>
      </w:r>
    </w:p>
    <w:p w14:paraId="1854D59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81" w:right="70" w:hanging="344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7"/>
          <w:sz w:val="21"/>
          <w:szCs w:val="21"/>
        </w:rPr>
        <w:t>19.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应按照适用法律法规、认证规则、认证方案和公开程序，独立、公正、客观地实施</w:t>
      </w:r>
      <w:r>
        <w:rPr>
          <w:rFonts w:hint="eastAsia" w:ascii="仿宋" w:hAnsi="仿宋" w:eastAsia="仿宋" w:cs="仿宋"/>
          <w:spacing w:val="9"/>
          <w:sz w:val="21"/>
          <w:szCs w:val="21"/>
        </w:rPr>
        <w:t>认证活动，并委派具备相应能力的审核员、评价人员、检查员或技术专家。</w:t>
      </w:r>
    </w:p>
    <w:p w14:paraId="2AA85D2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0" w:right="70" w:hanging="356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20.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应向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说明认证流程、认证依据、收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费项目、证书和认证标志使用要求以及申诉</w:t>
      </w:r>
      <w:r>
        <w:rPr>
          <w:rFonts w:hint="eastAsia" w:ascii="仿宋" w:hAnsi="仿宋" w:eastAsia="仿宋" w:cs="仿宋"/>
          <w:spacing w:val="6"/>
          <w:sz w:val="21"/>
          <w:szCs w:val="21"/>
        </w:rPr>
        <w:t>投诉渠道。</w:t>
      </w:r>
    </w:p>
    <w:p w14:paraId="501BCA1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4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7"/>
          <w:sz w:val="21"/>
          <w:szCs w:val="21"/>
        </w:rPr>
        <w:t>21.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向公众提供查询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认证证书有效性的方式，查询途径为：</w:t>
      </w:r>
    </w:p>
    <w:p w14:paraId="4EE5959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3"/>
        <w:textAlignment w:val="baseline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☑乙方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自有网站，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  <w:highlight w:val="none"/>
        </w:rPr>
        <w:t>网址为：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t xml:space="preserve">  www.ahzqjyrz.com  </w:t>
      </w:r>
    </w:p>
    <w:p w14:paraId="3B6805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3"/>
        <w:textAlignment w:val="baseline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pacing w:val="6"/>
          <w:sz w:val="21"/>
          <w:szCs w:val="21"/>
          <w:highlight w:val="none"/>
          <w:lang w:eastAsia="zh-CN"/>
        </w:rPr>
        <w:t>☑</w:t>
      </w:r>
      <w:r>
        <w:rPr>
          <w:rFonts w:hint="eastAsia" w:ascii="仿宋" w:hAnsi="仿宋" w:eastAsia="仿宋" w:cs="仿宋"/>
          <w:color w:val="auto"/>
          <w:spacing w:val="6"/>
          <w:sz w:val="21"/>
          <w:szCs w:val="21"/>
          <w:highlight w:val="none"/>
        </w:rPr>
        <w:t>其他查询方式：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  <w:lang w:val="en-US" w:eastAsia="zh-CN"/>
        </w:rPr>
        <w:t>通过证书二维码扫描查询或</w:t>
      </w:r>
      <w:r>
        <w:rPr>
          <w:rFonts w:hint="eastAsia" w:ascii="仿宋" w:hAnsi="仿宋" w:eastAsia="仿宋" w:cs="仿宋"/>
          <w:color w:val="auto"/>
          <w:spacing w:val="13"/>
          <w:sz w:val="21"/>
          <w:szCs w:val="21"/>
          <w:highlight w:val="none"/>
          <w:u w:val="single" w:color="auto"/>
        </w:rPr>
        <w:t>国家认监委官方网站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fldChar w:fldCharType="begin"/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instrText xml:space="preserve"> HYPERLINK "https://www.cnca.gov.cn" </w:instrTex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fldChar w:fldCharType="separate"/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t>www</w:t>
      </w:r>
      <w:r>
        <w:rPr>
          <w:rFonts w:hint="eastAsia" w:ascii="仿宋" w:hAnsi="仿宋" w:eastAsia="仿宋" w:cs="仿宋"/>
          <w:color w:val="auto"/>
          <w:spacing w:val="13"/>
          <w:sz w:val="21"/>
          <w:szCs w:val="21"/>
          <w:highlight w:val="none"/>
          <w:u w:val="single" w:color="auto"/>
        </w:rPr>
        <w:t>.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t>cnca</w:t>
      </w:r>
      <w:r>
        <w:rPr>
          <w:rFonts w:hint="eastAsia" w:ascii="仿宋" w:hAnsi="仿宋" w:eastAsia="仿宋" w:cs="仿宋"/>
          <w:color w:val="auto"/>
          <w:spacing w:val="13"/>
          <w:sz w:val="21"/>
          <w:szCs w:val="21"/>
          <w:highlight w:val="none"/>
          <w:u w:val="single" w:color="auto"/>
        </w:rPr>
        <w:t>.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t>gov</w:t>
      </w:r>
      <w:r>
        <w:rPr>
          <w:rFonts w:hint="eastAsia" w:ascii="仿宋" w:hAnsi="仿宋" w:eastAsia="仿宋" w:cs="仿宋"/>
          <w:color w:val="auto"/>
          <w:spacing w:val="13"/>
          <w:sz w:val="21"/>
          <w:szCs w:val="21"/>
          <w:highlight w:val="none"/>
          <w:u w:val="single" w:color="auto"/>
        </w:rPr>
        <w:t>.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t>cn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fldChar w:fldCharType="end"/>
      </w:r>
      <w:r>
        <w:rPr>
          <w:rFonts w:hint="eastAsia" w:ascii="仿宋" w:hAnsi="仿宋" w:eastAsia="仿宋" w:cs="仿宋"/>
          <w:color w:val="auto"/>
          <w:spacing w:val="-32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auto"/>
          <w:sz w:val="21"/>
          <w:szCs w:val="21"/>
          <w:highlight w:val="none"/>
          <w:u w:val="single" w:color="auto"/>
        </w:rPr>
        <w:t xml:space="preserve"> </w:t>
      </w:r>
    </w:p>
    <w:p w14:paraId="1C7938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3" w:right="72" w:hanging="359"/>
        <w:textAlignment w:val="baseline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22.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应保证其提交的申请资料、技术文件、记录、样品、声明及其他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  <w:highlight w:val="none"/>
        </w:rPr>
        <w:t>信息真实、准确、</w:t>
      </w:r>
      <w:r>
        <w:rPr>
          <w:rFonts w:hint="eastAsia" w:ascii="仿宋" w:hAnsi="仿宋" w:eastAsia="仿宋" w:cs="仿宋"/>
          <w:color w:val="auto"/>
          <w:spacing w:val="9"/>
          <w:sz w:val="21"/>
          <w:szCs w:val="21"/>
          <w:highlight w:val="none"/>
        </w:rPr>
        <w:t>完整、合法、有效，不得隐瞒可能影响认证决定的重要事实。</w:t>
      </w:r>
    </w:p>
    <w:p w14:paraId="3EADF8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79" w:right="70" w:hanging="355"/>
        <w:textAlignment w:val="baseline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pacing w:val="9"/>
          <w:sz w:val="21"/>
          <w:szCs w:val="21"/>
          <w:highlight w:val="none"/>
        </w:rPr>
        <w:t>23.</w:t>
      </w:r>
      <w:r>
        <w:rPr>
          <w:rFonts w:hint="eastAsia" w:ascii="仿宋" w:hAnsi="仿宋" w:eastAsia="仿宋" w:cs="仿宋"/>
          <w:color w:val="auto"/>
          <w:spacing w:val="9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color w:val="auto"/>
          <w:spacing w:val="9"/>
          <w:sz w:val="21"/>
          <w:szCs w:val="21"/>
          <w:highlight w:val="none"/>
        </w:rPr>
        <w:t>应为</w:t>
      </w:r>
      <w:r>
        <w:rPr>
          <w:rFonts w:hint="eastAsia" w:ascii="仿宋" w:hAnsi="仿宋" w:eastAsia="仿宋" w:cs="仿宋"/>
          <w:color w:val="auto"/>
          <w:spacing w:val="9"/>
          <w:sz w:val="21"/>
          <w:szCs w:val="21"/>
          <w:highlight w:val="none"/>
          <w:lang w:eastAsia="zh-CN"/>
        </w:rPr>
        <w:t>乙方</w:t>
      </w:r>
      <w:r>
        <w:rPr>
          <w:rFonts w:hint="eastAsia" w:ascii="仿宋" w:hAnsi="仿宋" w:eastAsia="仿宋" w:cs="仿宋"/>
          <w:color w:val="auto"/>
          <w:spacing w:val="9"/>
          <w:sz w:val="21"/>
          <w:szCs w:val="21"/>
          <w:highlight w:val="none"/>
        </w:rPr>
        <w:t>实施文件审查、现场审核/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评价、产品抽样、工厂检查、监督审核、特殊</w:t>
      </w:r>
      <w:r>
        <w:rPr>
          <w:rFonts w:hint="eastAsia" w:ascii="仿宋" w:hAnsi="仿宋" w:eastAsia="仿宋" w:cs="仿宋"/>
          <w:color w:val="auto"/>
          <w:spacing w:val="9"/>
          <w:sz w:val="21"/>
          <w:szCs w:val="21"/>
          <w:highlight w:val="none"/>
        </w:rPr>
        <w:t>审核、见证审核等活动提供必要条件，并允许监管部门、认可机构或方案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所有方按规定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  <w:highlight w:val="none"/>
        </w:rPr>
        <w:t>进行见证或监督。</w:t>
      </w:r>
    </w:p>
    <w:p w14:paraId="1E9174E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left="475" w:leftChars="11" w:hanging="452" w:hangingChars="200"/>
        <w:textAlignment w:val="baseline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24.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应持续保持认证对象符合认证依据和本合同要求，并按期完成不符合项整改。</w:t>
      </w:r>
    </w:p>
    <w:p w14:paraId="1C857A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8" w:lineRule="auto"/>
        <w:textAlignment w:val="baseline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</w:p>
    <w:p w14:paraId="7E99392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381" w:hanging="357"/>
        <w:textAlignment w:val="baseline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25.</w:t>
      </w:r>
      <w:r>
        <w:rPr>
          <w:rFonts w:hint="eastAsia" w:ascii="仿宋" w:hAnsi="仿宋" w:eastAsia="仿宋" w:cs="仿宋"/>
          <w:color w:val="auto"/>
          <w:spacing w:val="-46"/>
          <w:sz w:val="21"/>
          <w:szCs w:val="21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pacing w:val="5"/>
          <w:sz w:val="21"/>
          <w:szCs w:val="21"/>
          <w:highlight w:val="none"/>
        </w:rPr>
        <w:t>任何一方均不得向对方人员提供、索取或收受可能影响认证公正性的财物、回扣、宴请、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旅游、就业机会或其他不当利益。</w:t>
      </w:r>
    </w:p>
    <w:p w14:paraId="72BE8495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第七条 费用及支付</w:t>
      </w:r>
    </w:p>
    <w:p w14:paraId="7AAFE9D8">
      <w:pPr>
        <w:pStyle w:val="2"/>
        <w:spacing w:before="178" w:line="333" w:lineRule="auto"/>
        <w:ind w:left="381" w:right="70" w:hanging="357"/>
        <w:rPr>
          <w:rFonts w:hint="eastAsia" w:ascii="仿宋" w:hAnsi="仿宋" w:eastAsia="仿宋" w:cs="仿宋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</w:rPr>
        <w:t>26.认证费用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highlight w:val="none"/>
          <w:lang w:eastAsia="zh-CN"/>
        </w:rPr>
        <w:t>：</w:t>
      </w:r>
    </w:p>
    <w:p w14:paraId="594C8D8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right="70" w:firstLine="211" w:firstLineChars="10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（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）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初审/再认证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审核费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完整体系审核</w:t>
      </w:r>
      <w:r>
        <w:rPr>
          <w:rFonts w:hint="eastAsia" w:ascii="仿宋" w:hAnsi="仿宋" w:eastAsia="仿宋" w:cs="仿宋"/>
          <w:b/>
          <w:bCs/>
          <w:spacing w:val="-2"/>
          <w:sz w:val="21"/>
          <w:szCs w:val="21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（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请在适用项前勾选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“√”，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不适用项勾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“×”）：</w:t>
      </w:r>
    </w:p>
    <w:p w14:paraId="7462D7C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质量管理体系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元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供应链安全管理体系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43D7D8C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环境管理体系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企业诚信管理体系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221EF4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职业健康安全管理体系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社会责任管理体系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3C8DCD3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食品安全管理体系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 食品可追溯管理体系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1EACE04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 xml:space="preserve">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HACCP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 xml:space="preserve">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绿色供应链安全管理体系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256DDC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 测量管理体系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其 他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161AECB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443" w:leftChars="211" w:right="71" w:firstLine="67" w:firstLineChars="30"/>
        <w:textAlignment w:val="baseline"/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>合计金额￥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>元，人民币（大写）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 xml:space="preserve">元整；  </w:t>
      </w:r>
    </w:p>
    <w:p w14:paraId="301FC60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right="71" w:firstLine="454" w:firstLineChars="200"/>
        <w:textAlignment w:val="baseline"/>
        <w:rPr>
          <w:rFonts w:hint="eastAsia" w:ascii="仿宋" w:hAnsi="仿宋" w:eastAsia="仿宋" w:cs="仿宋"/>
          <w:b/>
          <w:bCs/>
          <w:spacing w:val="8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8"/>
          <w:sz w:val="21"/>
          <w:szCs w:val="21"/>
          <w:lang w:val="en-US" w:eastAsia="zh-CN"/>
        </w:rPr>
        <w:t>☑含6%增值税 □不含增值税（以上费用包含管理年金1000元、审定与注册费1000元）</w:t>
      </w:r>
    </w:p>
    <w:p w14:paraId="6609C0B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1" w:leftChars="111" w:right="70" w:hanging="148" w:hangingChars="7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（2）每次监督审核费（请在适用项前勾选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“√”，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不适用项勾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“×”）：</w:t>
      </w:r>
    </w:p>
    <w:p w14:paraId="52E25F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质量管理体系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元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供应链安全管理体系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1E6ED05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环境管理体系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企业诚信管理体系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32F64CE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职业健康安全管理体系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社会责任管理体系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27E8CC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食品安全管理体系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 食品可追溯管理体系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5433475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 xml:space="preserve">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HACCP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 xml:space="preserve">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绿色供应链安全管理体系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3974653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43" w:leftChars="211" w:right="70" w:firstLine="63" w:firstLineChars="3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 测量管理体系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eastAsia="zh-CN"/>
        </w:rPr>
        <w:t>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 xml:space="preserve">其 他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元</w:t>
      </w:r>
    </w:p>
    <w:p w14:paraId="5BF2C74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443" w:leftChars="211" w:right="71" w:firstLine="67" w:firstLineChars="30"/>
        <w:textAlignment w:val="baseline"/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>合计金额￥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>元，人民币（大写）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u w:val="single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 xml:space="preserve">元整；  </w:t>
      </w:r>
    </w:p>
    <w:p w14:paraId="0090167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right="71" w:firstLine="454" w:firstLineChars="200"/>
        <w:textAlignment w:val="baseline"/>
        <w:rPr>
          <w:rFonts w:hint="eastAsia" w:ascii="仿宋" w:hAnsi="仿宋" w:eastAsia="仿宋" w:cs="仿宋"/>
          <w:b/>
          <w:bCs/>
          <w:spacing w:val="8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8"/>
          <w:sz w:val="21"/>
          <w:szCs w:val="21"/>
          <w:lang w:val="en-US" w:eastAsia="zh-CN"/>
        </w:rPr>
        <w:t>□含6%增值税 □不含增值税（以上费用包含管理年金1000元、审定与注册费1000元）</w:t>
      </w:r>
    </w:p>
    <w:p w14:paraId="2CAE06B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20" w:leftChars="200" w:firstLine="0" w:firstLineChars="0"/>
        <w:textAlignment w:val="baseline"/>
        <w:outlineLvl w:val="2"/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</w:rPr>
        <w:t>说明：审核组成员差旅</w:t>
      </w:r>
      <w:r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  <w:lang w:val="en-US" w:eastAsia="zh-CN"/>
        </w:rPr>
        <w:t>食宿</w:t>
      </w:r>
      <w:r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</w:rPr>
        <w:t>费不包含在上述费用中，</w:t>
      </w:r>
      <w:r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  <w:lang w:val="en-US" w:eastAsia="zh-CN"/>
        </w:rPr>
        <w:t>具体</w:t>
      </w:r>
      <w:r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</w:rPr>
        <w:t>由甲方据实承担并提前预付或现场结算</w:t>
      </w:r>
      <w:r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pacing w:val="-2"/>
          <w:sz w:val="21"/>
          <w:szCs w:val="21"/>
        </w:rPr>
        <w:t>初审及再认证按完整体系审核计费；监督审核每年一次，一个认证周期内通常包含两次监督审核。如甲方获证后发生管理体系变更（包括但不限于企业名称、地址、规模、覆盖范围或人员数量增减等），费用将据实调整，具体金额以双方书面确认为准。</w:t>
      </w:r>
    </w:p>
    <w:p w14:paraId="5E53985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2" w:right="70" w:hanging="358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>27</w:t>
      </w:r>
      <w:r>
        <w:rPr>
          <w:rFonts w:hint="eastAsia" w:ascii="仿宋" w:hAnsi="仿宋" w:eastAsia="仿宋" w:cs="仿宋"/>
          <w:spacing w:val="8"/>
          <w:sz w:val="21"/>
          <w:szCs w:val="21"/>
        </w:rPr>
        <w:t>.因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原因导致审核、评价、检查、试验取消、延期、重复实施或工</w:t>
      </w:r>
      <w:r>
        <w:rPr>
          <w:rFonts w:hint="eastAsia" w:ascii="仿宋" w:hAnsi="仿宋" w:eastAsia="仿宋" w:cs="仿宋"/>
          <w:spacing w:val="7"/>
          <w:sz w:val="21"/>
          <w:szCs w:val="21"/>
        </w:rPr>
        <w:t>作量增加的，由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承担已发生且合理的费用。</w:t>
      </w:r>
    </w:p>
    <w:p w14:paraId="620843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381" w:right="71" w:hanging="357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2</w:t>
      </w: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>8</w:t>
      </w:r>
      <w:r>
        <w:rPr>
          <w:rFonts w:hint="eastAsia" w:ascii="仿宋" w:hAnsi="仿宋" w:eastAsia="仿宋" w:cs="仿宋"/>
          <w:spacing w:val="8"/>
          <w:sz w:val="21"/>
          <w:szCs w:val="21"/>
        </w:rPr>
        <w:t>.认证未通过、证书被暂停/撤销/注销或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中途撤回申请的，已实际发生的认证活动费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用原则上不予退还；</w:t>
      </w:r>
      <w:r>
        <w:rPr>
          <w:rFonts w:hint="eastAsia" w:ascii="仿宋" w:hAnsi="仿宋" w:eastAsia="仿宋" w:cs="仿宋"/>
          <w:spacing w:val="-4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尚未发生的费用应依法据实结算。</w:t>
      </w:r>
    </w:p>
    <w:p w14:paraId="311FE9C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2" w:right="70" w:hanging="358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2</w:t>
      </w:r>
      <w:r>
        <w:rPr>
          <w:rFonts w:hint="eastAsia" w:ascii="仿宋" w:hAnsi="仿宋" w:eastAsia="仿宋" w:cs="仿宋"/>
          <w:spacing w:val="8"/>
          <w:sz w:val="21"/>
          <w:szCs w:val="21"/>
          <w:lang w:val="en-US" w:eastAsia="zh-CN"/>
        </w:rPr>
        <w:t>9</w:t>
      </w:r>
      <w:r>
        <w:rPr>
          <w:rFonts w:hint="eastAsia" w:ascii="仿宋" w:hAnsi="仿宋" w:eastAsia="仿宋" w:cs="仿宋"/>
          <w:spacing w:val="8"/>
          <w:sz w:val="21"/>
          <w:szCs w:val="21"/>
        </w:rPr>
        <w:t>.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认证费用支付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  <w:lang w:val="en-US" w:eastAsia="zh-CN"/>
        </w:rPr>
        <w:t>方式</w:t>
      </w:r>
    </w:p>
    <w:p w14:paraId="6995ECE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21" w:leftChars="100" w:right="70" w:hanging="211" w:hangingChars="100"/>
        <w:jc w:val="left"/>
        <w:textAlignment w:val="baseline"/>
        <w:rPr>
          <w:rFonts w:hint="eastAsia" w:ascii="仿宋" w:hAnsi="仿宋" w:eastAsia="仿宋" w:cs="仿宋"/>
          <w:spacing w:val="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1）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体系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认证初审/再认证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审核费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</w:rPr>
        <w:t>应按照认证活动进程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lang w:val="en-US" w:eastAsia="zh-CN"/>
        </w:rPr>
        <w:t>在</w:t>
      </w:r>
      <w:r>
        <w:rPr>
          <w:rFonts w:hint="eastAsia" w:ascii="仿宋" w:hAnsi="仿宋" w:eastAsia="仿宋" w:cs="仿宋"/>
          <w:snapToGrid w:val="0"/>
          <w:color w:val="auto"/>
          <w:kern w:val="0"/>
          <w:sz w:val="21"/>
          <w:szCs w:val="21"/>
        </w:rPr>
        <w:t>合同签订后一周内支付</w:t>
      </w:r>
      <w:r>
        <w:rPr>
          <w:rFonts w:hint="eastAsia" w:ascii="仿宋" w:hAnsi="仿宋" w:eastAsia="仿宋" w:cs="仿宋"/>
          <w:snapToGrid w:val="0"/>
          <w:color w:val="auto"/>
          <w:kern w:val="0"/>
          <w:sz w:val="21"/>
          <w:szCs w:val="21"/>
          <w:lang w:val="en-US" w:eastAsia="zh-CN"/>
        </w:rPr>
        <w:t>60%</w:t>
      </w:r>
      <w:r>
        <w:rPr>
          <w:rFonts w:hint="eastAsia" w:ascii="仿宋" w:hAnsi="仿宋" w:eastAsia="仿宋" w:cs="仿宋"/>
          <w:snapToGrid w:val="0"/>
          <w:color w:val="auto"/>
          <w:kern w:val="0"/>
          <w:sz w:val="21"/>
          <w:szCs w:val="21"/>
        </w:rPr>
        <w:t>；剩余款项应于现场审核结束之日起七日内付清。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color w:val="auto"/>
          <w:spacing w:val="8"/>
          <w:sz w:val="21"/>
          <w:szCs w:val="21"/>
        </w:rPr>
        <w:t>逾期付款的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</w:rPr>
        <w:t>，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</w:rPr>
        <w:t>有权暂停后续认证活动；逾期超过</w:t>
      </w:r>
      <w:r>
        <w:rPr>
          <w:rFonts w:hint="eastAsia" w:ascii="仿宋" w:hAnsi="仿宋" w:eastAsia="仿宋" w:cs="仿宋"/>
          <w:color w:val="auto"/>
          <w:spacing w:val="-83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color w:val="auto"/>
          <w:spacing w:val="4"/>
          <w:sz w:val="21"/>
          <w:szCs w:val="21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auto"/>
          <w:spacing w:val="4"/>
          <w:sz w:val="21"/>
          <w:szCs w:val="21"/>
          <w:u w:val="single" w:color="auto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pacing w:val="4"/>
          <w:sz w:val="21"/>
          <w:szCs w:val="21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</w:rPr>
        <w:t>日的，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</w:rPr>
        <w:t>有权解除合同，并要求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color w:val="auto"/>
          <w:spacing w:val="7"/>
          <w:sz w:val="21"/>
          <w:szCs w:val="21"/>
        </w:rPr>
        <w:t>支付已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发生的合理</w:t>
      </w:r>
      <w:r>
        <w:rPr>
          <w:rFonts w:hint="eastAsia" w:ascii="仿宋" w:hAnsi="仿宋" w:eastAsia="仿宋" w:cs="仿宋"/>
          <w:spacing w:val="2"/>
          <w:sz w:val="21"/>
          <w:szCs w:val="21"/>
        </w:rPr>
        <w:t>费用。</w:t>
      </w:r>
    </w:p>
    <w:p w14:paraId="710C7EE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21" w:leftChars="100" w:right="70" w:hanging="211" w:hangingChars="10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2）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监督审核费用：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1"/>
          <w:szCs w:val="21"/>
        </w:rPr>
        <w:t>乙方于监督审核前向甲方出具《收费通知单》，甲方应在收到通知单后五个工作日内完成支付。因监督审核未通过产生的额外审核费用，由甲方承担，并须于乙方下次现场审核开始前七日内一次性结清。</w:t>
      </w:r>
    </w:p>
    <w:p w14:paraId="1F277A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421" w:leftChars="100" w:right="70" w:hanging="211" w:hangingChars="10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  <w:lang w:val="en-US" w:eastAsia="zh-CN"/>
        </w:rPr>
        <w:t>3）乙方账户信息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21"/>
          <w:szCs w:val="21"/>
        </w:rPr>
        <w:t>：</w:t>
      </w:r>
    </w:p>
    <w:tbl>
      <w:tblPr>
        <w:tblStyle w:val="5"/>
        <w:tblW w:w="95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6990"/>
      </w:tblGrid>
      <w:tr w14:paraId="17D5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70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安徽中青检验认证服务有限公司</w:t>
            </w:r>
          </w:p>
        </w:tc>
      </w:tr>
      <w:tr w14:paraId="2A1A6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D5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3401041060000079352</w:t>
            </w:r>
          </w:p>
        </w:tc>
      </w:tr>
      <w:tr w14:paraId="0B9E1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开户行</w:t>
            </w:r>
          </w:p>
        </w:tc>
        <w:tc>
          <w:tcPr>
            <w:tcW w:w="6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B1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杭州银行肥西支行</w:t>
            </w:r>
          </w:p>
        </w:tc>
      </w:tr>
      <w:tr w14:paraId="6AE17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E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行号</w:t>
            </w:r>
          </w:p>
        </w:tc>
        <w:tc>
          <w:tcPr>
            <w:tcW w:w="6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1E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313361080102</w:t>
            </w:r>
          </w:p>
        </w:tc>
      </w:tr>
    </w:tbl>
    <w:p w14:paraId="57B30BCD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第八条 不符合项整改</w:t>
      </w:r>
    </w:p>
    <w:p w14:paraId="25398ACE">
      <w:pPr>
        <w:pStyle w:val="2"/>
        <w:spacing w:before="178" w:line="360" w:lineRule="auto"/>
        <w:ind w:left="436" w:hanging="436" w:hangingChars="20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4"/>
          <w:sz w:val="21"/>
          <w:szCs w:val="21"/>
        </w:rPr>
        <w:t>30.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根据认证依据对不符合项进行分类，并向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提出整改要求、整改期限和验证方式。</w:t>
      </w:r>
    </w:p>
    <w:p w14:paraId="5E1285F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96" w:hanging="396" w:hangingChars="200"/>
        <w:jc w:val="left"/>
        <w:textAlignment w:val="baseline"/>
        <w:rPr>
          <w:rFonts w:hint="eastAsia" w:ascii="仿宋" w:hAnsi="仿宋" w:eastAsia="仿宋" w:cs="仿宋"/>
          <w:spacing w:val="-6"/>
          <w:sz w:val="21"/>
          <w:szCs w:val="21"/>
        </w:rPr>
      </w:pPr>
      <w:r>
        <w:rPr>
          <w:rFonts w:hint="eastAsia" w:ascii="仿宋" w:hAnsi="仿宋" w:eastAsia="仿宋" w:cs="仿宋"/>
          <w:spacing w:val="-6"/>
          <w:sz w:val="21"/>
          <w:szCs w:val="21"/>
        </w:rPr>
        <w:t>31.</w:t>
      </w:r>
      <w:r>
        <w:rPr>
          <w:rFonts w:hint="eastAsia" w:ascii="仿宋" w:hAnsi="仿宋" w:eastAsia="仿宋" w:cs="仿宋"/>
          <w:spacing w:val="-6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-6"/>
          <w:sz w:val="21"/>
          <w:szCs w:val="21"/>
        </w:rPr>
        <w:t>应在规定期限内提交纠正、原因分析、纠正措施及其实施证据。</w:t>
      </w:r>
      <w:r>
        <w:rPr>
          <w:rFonts w:hint="eastAsia" w:ascii="仿宋" w:hAnsi="仿宋" w:eastAsia="仿宋" w:cs="仿宋"/>
          <w:spacing w:val="-6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-6"/>
          <w:sz w:val="21"/>
          <w:szCs w:val="21"/>
        </w:rPr>
        <w:t>可根据需要采取书面验证或现场验证。</w:t>
      </w:r>
    </w:p>
    <w:p w14:paraId="7270FC6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96" w:hanging="396" w:hangingChars="200"/>
        <w:jc w:val="left"/>
        <w:textAlignment w:val="baseline"/>
        <w:rPr>
          <w:rFonts w:hint="eastAsia" w:ascii="仿宋" w:hAnsi="仿宋" w:eastAsia="仿宋" w:cs="仿宋"/>
          <w:spacing w:val="-6"/>
          <w:sz w:val="21"/>
          <w:szCs w:val="21"/>
        </w:rPr>
      </w:pPr>
      <w:r>
        <w:rPr>
          <w:rFonts w:hint="eastAsia" w:ascii="仿宋" w:hAnsi="仿宋" w:eastAsia="仿宋" w:cs="仿宋"/>
          <w:spacing w:val="-6"/>
          <w:sz w:val="21"/>
          <w:szCs w:val="21"/>
        </w:rPr>
        <w:t>32.</w:t>
      </w:r>
      <w:r>
        <w:rPr>
          <w:rFonts w:hint="eastAsia" w:ascii="仿宋" w:hAnsi="仿宋" w:eastAsia="仿宋" w:cs="仿宋"/>
          <w:spacing w:val="-6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-6"/>
          <w:sz w:val="21"/>
          <w:szCs w:val="21"/>
        </w:rPr>
        <w:t>逾期未整改、整改无效、提供虚假整改材料或拒绝接受验证的，</w:t>
      </w:r>
      <w:r>
        <w:rPr>
          <w:rFonts w:hint="eastAsia" w:ascii="仿宋" w:hAnsi="仿宋" w:eastAsia="仿宋" w:cs="仿宋"/>
          <w:spacing w:val="-6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-6"/>
          <w:sz w:val="21"/>
          <w:szCs w:val="21"/>
        </w:rPr>
        <w:t>可依法作出不予认证，暂停、撤销证书或缩小认证范围等决定。</w:t>
      </w:r>
    </w:p>
    <w:p w14:paraId="49E3BE62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第九条 证书、认证标志和认证声明使用</w:t>
      </w:r>
    </w:p>
    <w:p w14:paraId="460E3A6E">
      <w:pPr>
        <w:pStyle w:val="2"/>
        <w:spacing w:before="180" w:line="333" w:lineRule="auto"/>
        <w:ind w:left="382" w:right="71" w:hanging="356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33.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仅可在证书有效期内、认证范围内、按照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公开的认证标志</w:t>
      </w:r>
      <w:r>
        <w:rPr>
          <w:rFonts w:hint="eastAsia" w:ascii="仿宋" w:hAnsi="仿宋" w:eastAsia="仿宋" w:cs="仿宋"/>
          <w:spacing w:val="7"/>
          <w:sz w:val="21"/>
          <w:szCs w:val="21"/>
        </w:rPr>
        <w:t>使用规则和相关法律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法规使用认证证书、认证标志和认证声明。</w:t>
      </w:r>
    </w:p>
    <w:p w14:paraId="3EBE80E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400" w:right="74" w:hanging="374"/>
        <w:textAlignment w:val="baseline"/>
        <w:rPr>
          <w:rFonts w:hint="eastAsia" w:ascii="仿宋" w:hAnsi="仿宋" w:eastAsia="仿宋" w:cs="仿宋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34.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不得伪造、变造、冒用、出租、出借、转让、买卖认证证书或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认证标志，不得超范</w:t>
      </w:r>
      <w:r>
        <w:rPr>
          <w:rFonts w:hint="eastAsia" w:ascii="仿宋" w:hAnsi="仿宋" w:eastAsia="仿宋" w:cs="仿宋"/>
          <w:spacing w:val="6"/>
          <w:sz w:val="21"/>
          <w:szCs w:val="21"/>
          <w:highlight w:val="none"/>
        </w:rPr>
        <w:t>围、误导性使用认证结果。</w:t>
      </w:r>
    </w:p>
    <w:p w14:paraId="54E5D0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2" w:right="74" w:hanging="356"/>
        <w:textAlignment w:val="baseline"/>
        <w:rPr>
          <w:rFonts w:hint="eastAsia" w:ascii="仿宋" w:hAnsi="仿宋" w:eastAsia="仿宋" w:cs="仿宋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35.证书暂停期间，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不得继续宣传相应认证有效；证书撤销、注销或有效期届满后，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  <w:highlight w:val="none"/>
        </w:rPr>
        <w:t>应立即停止使用证书、标志及相关宣传材料，并按</w:t>
      </w:r>
      <w:r>
        <w:rPr>
          <w:rFonts w:hint="eastAsia" w:ascii="仿宋" w:hAnsi="仿宋" w:eastAsia="仿宋" w:cs="仿宋"/>
          <w:spacing w:val="9"/>
          <w:sz w:val="21"/>
          <w:szCs w:val="21"/>
          <w:highlight w:val="none"/>
          <w:lang w:eastAsia="zh-CN"/>
        </w:rPr>
        <w:t>乙方</w:t>
      </w:r>
      <w:r>
        <w:rPr>
          <w:rFonts w:hint="eastAsia" w:ascii="仿宋" w:hAnsi="仿宋" w:eastAsia="仿宋" w:cs="仿宋"/>
          <w:spacing w:val="9"/>
          <w:sz w:val="21"/>
          <w:szCs w:val="21"/>
          <w:highlight w:val="none"/>
        </w:rPr>
        <w:t>要求整改库</w:t>
      </w:r>
      <w:r>
        <w:rPr>
          <w:rFonts w:hint="eastAsia" w:ascii="仿宋" w:hAnsi="仿宋" w:eastAsia="仿宋" w:cs="仿宋"/>
          <w:spacing w:val="8"/>
          <w:sz w:val="21"/>
          <w:szCs w:val="21"/>
          <w:highlight w:val="none"/>
        </w:rPr>
        <w:t>存包装、网站、电</w:t>
      </w:r>
      <w:r>
        <w:rPr>
          <w:rFonts w:hint="eastAsia" w:ascii="仿宋" w:hAnsi="仿宋" w:eastAsia="仿宋" w:cs="仿宋"/>
          <w:spacing w:val="7"/>
          <w:sz w:val="21"/>
          <w:szCs w:val="21"/>
          <w:highlight w:val="none"/>
        </w:rPr>
        <w:t>商页面、广告资料等。</w:t>
      </w:r>
    </w:p>
    <w:p w14:paraId="235C533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1" w:lineRule="auto"/>
        <w:ind w:left="382" w:right="74" w:hanging="356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36.因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误用、冒用或超范围使用证书、标志、认证声明导致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、消费者、客户或第三</w:t>
      </w:r>
      <w:r>
        <w:rPr>
          <w:rFonts w:hint="eastAsia" w:ascii="仿宋" w:hAnsi="仿宋" w:eastAsia="仿宋" w:cs="仿宋"/>
          <w:spacing w:val="9"/>
          <w:sz w:val="21"/>
          <w:szCs w:val="21"/>
        </w:rPr>
        <w:t>方损失、行政处罚或声誉损害的，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应依法承担相应责任。</w:t>
      </w:r>
    </w:p>
    <w:p w14:paraId="0FD2BC7F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第十条 重大变更、事故和投诉报告</w:t>
      </w:r>
    </w:p>
    <w:p w14:paraId="7C24E67A">
      <w:pPr>
        <w:pStyle w:val="2"/>
        <w:spacing w:before="180" w:line="332" w:lineRule="auto"/>
        <w:ind w:left="386" w:right="71" w:hanging="36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9"/>
          <w:sz w:val="21"/>
          <w:szCs w:val="21"/>
        </w:rPr>
        <w:t>37.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发生名称、住所、法律地位、所有权、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组织结构、关键人员、认证范围、生产/服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务场所、关键工艺、关键设备、关键材料、外包过程、服务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网点、产品型号等重大变化</w:t>
      </w:r>
      <w:r>
        <w:rPr>
          <w:rFonts w:hint="eastAsia" w:ascii="仿宋" w:hAnsi="仿宋" w:eastAsia="仿宋" w:cs="仿宋"/>
          <w:spacing w:val="4"/>
          <w:sz w:val="21"/>
          <w:szCs w:val="21"/>
        </w:rPr>
        <w:t>的，应在</w:t>
      </w:r>
      <w:r>
        <w:rPr>
          <w:rFonts w:hint="eastAsia" w:ascii="仿宋" w:hAnsi="仿宋" w:eastAsia="仿宋" w:cs="仿宋"/>
          <w:spacing w:val="-92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  <w:lang w:val="en-US" w:eastAsia="zh-CN"/>
        </w:rPr>
        <w:t>5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-52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</w:rPr>
        <w:t>日内书面通知</w:t>
      </w:r>
      <w:r>
        <w:rPr>
          <w:rFonts w:hint="eastAsia" w:ascii="仿宋" w:hAnsi="仿宋" w:eastAsia="仿宋" w:cs="仿宋"/>
          <w:spacing w:val="4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4"/>
          <w:sz w:val="21"/>
          <w:szCs w:val="21"/>
        </w:rPr>
        <w:t>。</w:t>
      </w:r>
    </w:p>
    <w:p w14:paraId="0A817C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3" w:hanging="357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38.</w:t>
      </w:r>
      <w:r>
        <w:rPr>
          <w:rFonts w:hint="eastAsia" w:ascii="仿宋" w:hAnsi="仿宋" w:eastAsia="仿宋" w:cs="仿宋"/>
          <w:spacing w:val="-2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5"/>
          <w:sz w:val="21"/>
          <w:szCs w:val="21"/>
        </w:rPr>
        <w:t>发生重大质量安全事故、职业健康安全</w:t>
      </w:r>
      <w:r>
        <w:rPr>
          <w:rFonts w:hint="eastAsia" w:ascii="仿宋" w:hAnsi="仿宋" w:eastAsia="仿宋" w:cs="仿宋"/>
          <w:spacing w:val="4"/>
          <w:sz w:val="21"/>
          <w:szCs w:val="21"/>
        </w:rPr>
        <w:t>事故、环境事故、信息安全事件、产品召回、</w:t>
      </w:r>
      <w:r>
        <w:rPr>
          <w:rFonts w:hint="eastAsia" w:ascii="仿宋" w:hAnsi="仿宋" w:eastAsia="仿宋" w:cs="仿宋"/>
          <w:spacing w:val="9"/>
          <w:sz w:val="21"/>
          <w:szCs w:val="21"/>
        </w:rPr>
        <w:t>重大顾客投诉、行政处罚、媒体曝光或司法纠纷等可能影响认证有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效性的事项，应在该</w:t>
      </w:r>
      <w:r>
        <w:rPr>
          <w:rFonts w:hint="eastAsia" w:ascii="仿宋" w:hAnsi="仿宋" w:eastAsia="仿宋" w:cs="仿宋"/>
          <w:spacing w:val="2"/>
          <w:sz w:val="21"/>
          <w:szCs w:val="21"/>
        </w:rPr>
        <w:t>等事项发生</w:t>
      </w:r>
      <w:r>
        <w:rPr>
          <w:rFonts w:hint="eastAsia" w:ascii="仿宋" w:hAnsi="仿宋" w:eastAsia="仿宋" w:cs="仿宋"/>
          <w:spacing w:val="-22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2"/>
          <w:sz w:val="21"/>
          <w:szCs w:val="21"/>
        </w:rPr>
        <w:t>1 日内通知</w:t>
      </w:r>
      <w:r>
        <w:rPr>
          <w:rFonts w:hint="eastAsia" w:ascii="仿宋" w:hAnsi="仿宋" w:eastAsia="仿宋" w:cs="仿宋"/>
          <w:spacing w:val="2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2"/>
          <w:sz w:val="21"/>
          <w:szCs w:val="21"/>
        </w:rPr>
        <w:t>。</w:t>
      </w:r>
    </w:p>
    <w:p w14:paraId="473718F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398" w:hanging="372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7"/>
          <w:sz w:val="21"/>
          <w:szCs w:val="21"/>
        </w:rPr>
        <w:t>39.</w:t>
      </w:r>
      <w:r>
        <w:rPr>
          <w:rFonts w:hint="eastAsia" w:ascii="仿宋" w:hAnsi="仿宋" w:eastAsia="仿宋" w:cs="仿宋"/>
          <w:spacing w:val="-17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可根据变化或风险程度实施补充评价、特殊审核、</w:t>
      </w:r>
      <w:r>
        <w:rPr>
          <w:rFonts w:hint="eastAsia" w:ascii="仿宋" w:hAnsi="仿宋" w:eastAsia="仿宋" w:cs="仿宋"/>
          <w:spacing w:val="6"/>
          <w:sz w:val="21"/>
          <w:szCs w:val="21"/>
        </w:rPr>
        <w:t>扩大/缩小范围评价或重新认证。</w:t>
      </w:r>
      <w:r>
        <w:rPr>
          <w:rFonts w:hint="eastAsia" w:ascii="仿宋" w:hAnsi="仿宋" w:eastAsia="仿宋" w:cs="仿宋"/>
          <w:spacing w:val="6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6"/>
          <w:sz w:val="21"/>
          <w:szCs w:val="21"/>
        </w:rPr>
        <w:t>未履行报告义务的，</w:t>
      </w:r>
      <w:r>
        <w:rPr>
          <w:rFonts w:hint="eastAsia" w:ascii="仿宋" w:hAnsi="仿宋" w:eastAsia="仿宋" w:cs="仿宋"/>
          <w:spacing w:val="-4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6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6"/>
          <w:sz w:val="21"/>
          <w:szCs w:val="21"/>
        </w:rPr>
        <w:t>可暂停或撤销证书。</w:t>
      </w:r>
    </w:p>
    <w:p w14:paraId="03CB37F6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第十一条 特殊审核、见证审核和监管检查</w:t>
      </w:r>
    </w:p>
    <w:p w14:paraId="19D927BC">
      <w:pPr>
        <w:pStyle w:val="2"/>
        <w:spacing w:before="199" w:line="332" w:lineRule="auto"/>
        <w:ind w:left="383" w:hanging="357"/>
        <w:rPr>
          <w:rFonts w:hint="eastAsia" w:ascii="仿宋" w:hAnsi="仿宋" w:eastAsia="仿宋" w:cs="仿宋"/>
          <w:spacing w:val="9"/>
          <w:sz w:val="21"/>
          <w:szCs w:val="21"/>
        </w:rPr>
      </w:pPr>
      <w:r>
        <w:rPr>
          <w:rFonts w:hint="eastAsia" w:ascii="仿宋" w:hAnsi="仿宋" w:eastAsia="仿宋" w:cs="仿宋"/>
          <w:spacing w:val="9"/>
          <w:sz w:val="21"/>
          <w:szCs w:val="21"/>
        </w:rPr>
        <w:t>40.发生重大投诉、事故、召回、行政处罚、认证范围重大变化、证书恢复、监管部门或认可机构要求等情形时，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可实施特殊审核或短通知审核。</w:t>
      </w:r>
    </w:p>
    <w:p w14:paraId="7037AC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3" w:hanging="357"/>
        <w:textAlignment w:val="baseline"/>
        <w:rPr>
          <w:rFonts w:hint="eastAsia" w:ascii="仿宋" w:hAnsi="仿宋" w:eastAsia="仿宋" w:cs="仿宋"/>
          <w:spacing w:val="9"/>
          <w:sz w:val="21"/>
          <w:szCs w:val="21"/>
        </w:rPr>
      </w:pPr>
      <w:r>
        <w:rPr>
          <w:rFonts w:hint="eastAsia" w:ascii="仿宋" w:hAnsi="仿宋" w:eastAsia="仿宋" w:cs="仿宋"/>
          <w:spacing w:val="9"/>
          <w:sz w:val="21"/>
          <w:szCs w:val="21"/>
        </w:rPr>
        <w:t>41.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应接受监管部门、认可机构、行业方案所有方对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认证活动的见证、监督或资料核查。</w:t>
      </w:r>
    </w:p>
    <w:p w14:paraId="618495F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2" w:right="15" w:hanging="361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42.</w:t>
      </w:r>
      <w:r>
        <w:rPr>
          <w:rFonts w:hint="eastAsia" w:ascii="仿宋" w:hAnsi="仿宋" w:eastAsia="仿宋" w:cs="仿宋"/>
          <w:spacing w:val="-2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因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原因触发的特殊审核、补充审核、见证审核配合成本及相关合理费用</w:t>
      </w:r>
      <w:r>
        <w:rPr>
          <w:rFonts w:hint="eastAsia" w:ascii="仿宋" w:hAnsi="仿宋" w:eastAsia="仿宋" w:cs="仿宋"/>
          <w:spacing w:val="7"/>
          <w:sz w:val="21"/>
          <w:szCs w:val="21"/>
        </w:rPr>
        <w:t>，由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承</w:t>
      </w:r>
      <w:r>
        <w:rPr>
          <w:rFonts w:hint="eastAsia" w:ascii="仿宋" w:hAnsi="仿宋" w:eastAsia="仿宋" w:cs="仿宋"/>
          <w:sz w:val="21"/>
          <w:szCs w:val="21"/>
        </w:rPr>
        <w:t>担。</w:t>
      </w:r>
    </w:p>
    <w:p w14:paraId="11B1E370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第十二条 暂停、恢复、撤销、注销和缩小认证范围</w:t>
      </w:r>
    </w:p>
    <w:p w14:paraId="06ED0D32">
      <w:pPr>
        <w:pStyle w:val="2"/>
        <w:spacing w:before="176" w:line="332" w:lineRule="auto"/>
        <w:ind w:left="380" w:right="15" w:hanging="359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43.</w:t>
      </w:r>
      <w:r>
        <w:rPr>
          <w:rFonts w:hint="eastAsia" w:ascii="仿宋" w:hAnsi="仿宋" w:eastAsia="仿宋" w:cs="仿宋"/>
          <w:spacing w:val="-33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发生未按期接受监督、不符合项未按期整改、误用证书或标志、未支付费用、拒绝接受</w:t>
      </w:r>
      <w:r>
        <w:rPr>
          <w:rFonts w:hint="eastAsia" w:ascii="仿宋" w:hAnsi="仿宋" w:eastAsia="仿宋" w:cs="仿宋"/>
          <w:spacing w:val="9"/>
          <w:sz w:val="21"/>
          <w:szCs w:val="21"/>
        </w:rPr>
        <w:t>监督或特殊审核、提供虚假信息、发生重大事故或投诉、认证对象不再符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合认证要求等</w:t>
      </w:r>
      <w:r>
        <w:rPr>
          <w:rFonts w:hint="eastAsia" w:ascii="仿宋" w:hAnsi="仿宋" w:eastAsia="仿宋" w:cs="仿宋"/>
          <w:spacing w:val="5"/>
          <w:sz w:val="21"/>
          <w:szCs w:val="21"/>
        </w:rPr>
        <w:t>情形的，</w:t>
      </w:r>
      <w:r>
        <w:rPr>
          <w:rFonts w:hint="eastAsia" w:ascii="仿宋" w:hAnsi="仿宋" w:eastAsia="仿宋" w:cs="仿宋"/>
          <w:spacing w:val="-4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5"/>
          <w:sz w:val="21"/>
          <w:szCs w:val="21"/>
        </w:rPr>
        <w:t>可依法暂停证书。</w:t>
      </w:r>
    </w:p>
    <w:p w14:paraId="42711E8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383" w:right="15" w:hanging="362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44.</w:t>
      </w:r>
      <w:r>
        <w:rPr>
          <w:rFonts w:hint="eastAsia" w:ascii="仿宋" w:hAnsi="仿宋" w:eastAsia="仿宋" w:cs="仿宋"/>
          <w:spacing w:val="-33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暂停期间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完成整改并经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确认符合要求的，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可恢复证书；暂停期限届满仍不</w:t>
      </w:r>
      <w:r>
        <w:rPr>
          <w:rFonts w:hint="eastAsia" w:ascii="仿宋" w:hAnsi="仿宋" w:eastAsia="仿宋" w:cs="仿宋"/>
          <w:spacing w:val="6"/>
          <w:sz w:val="21"/>
          <w:szCs w:val="21"/>
        </w:rPr>
        <w:t>符合恢复条件的，</w:t>
      </w:r>
      <w:r>
        <w:rPr>
          <w:rFonts w:hint="eastAsia" w:ascii="仿宋" w:hAnsi="仿宋" w:eastAsia="仿宋" w:cs="仿宋"/>
          <w:spacing w:val="-57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6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6"/>
          <w:sz w:val="21"/>
          <w:szCs w:val="21"/>
        </w:rPr>
        <w:t>可撤销证书。</w:t>
      </w:r>
    </w:p>
    <w:p w14:paraId="05CBABB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1" w:lineRule="auto"/>
        <w:ind w:left="384" w:right="15" w:hanging="363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45.</w:t>
      </w:r>
      <w:r>
        <w:rPr>
          <w:rFonts w:hint="eastAsia" w:ascii="仿宋" w:hAnsi="仿宋" w:eastAsia="仿宋" w:cs="仿宋"/>
          <w:spacing w:val="-33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发生严重违法违规、严重质量安全风险、伪造材料、拒绝监督、认证对象灭失或不再具</w:t>
      </w:r>
      <w:r>
        <w:rPr>
          <w:rFonts w:hint="eastAsia" w:ascii="仿宋" w:hAnsi="仿宋" w:eastAsia="仿宋" w:cs="仿宋"/>
          <w:spacing w:val="6"/>
          <w:sz w:val="21"/>
          <w:szCs w:val="21"/>
        </w:rPr>
        <w:t>备认证条件等情形的，</w:t>
      </w:r>
      <w:r>
        <w:rPr>
          <w:rFonts w:hint="eastAsia" w:ascii="仿宋" w:hAnsi="仿宋" w:eastAsia="仿宋" w:cs="仿宋"/>
          <w:spacing w:val="-51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6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6"/>
          <w:sz w:val="21"/>
          <w:szCs w:val="21"/>
        </w:rPr>
        <w:t>可撤销证书。</w:t>
      </w:r>
    </w:p>
    <w:p w14:paraId="545FFF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1" w:lineRule="auto"/>
        <w:ind w:left="381" w:right="15" w:hanging="360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46.</w:t>
      </w:r>
      <w:r>
        <w:rPr>
          <w:rFonts w:hint="eastAsia" w:ascii="仿宋" w:hAnsi="仿宋" w:eastAsia="仿宋" w:cs="仿宋"/>
          <w:spacing w:val="-2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主动申请、认证对象停止经营/生产/服务、合同终止或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证书到期未延续的，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可</w:t>
      </w:r>
      <w:r>
        <w:rPr>
          <w:rFonts w:hint="eastAsia" w:ascii="仿宋" w:hAnsi="仿宋" w:eastAsia="仿宋" w:cs="仿宋"/>
          <w:spacing w:val="6"/>
          <w:sz w:val="21"/>
          <w:szCs w:val="21"/>
        </w:rPr>
        <w:t>注销证书。</w:t>
      </w:r>
    </w:p>
    <w:p w14:paraId="494262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left="21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47.</w:t>
      </w:r>
      <w:r>
        <w:rPr>
          <w:rFonts w:hint="eastAsia" w:ascii="仿宋" w:hAnsi="仿宋" w:eastAsia="仿宋" w:cs="仿宋"/>
          <w:spacing w:val="-45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认证对象部分不符合要求但其他部分仍符合要求的，</w:t>
      </w:r>
      <w:r>
        <w:rPr>
          <w:rFonts w:hint="eastAsia" w:ascii="仿宋" w:hAnsi="仿宋" w:eastAsia="仿宋" w:cs="仿宋"/>
          <w:spacing w:val="-5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可依法缩小认证范围。</w:t>
      </w:r>
    </w:p>
    <w:p w14:paraId="5965CCFC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第十三条 保密和信息披露</w:t>
      </w:r>
    </w:p>
    <w:p w14:paraId="5EE2948A">
      <w:pPr>
        <w:pStyle w:val="2"/>
        <w:spacing w:before="178" w:line="332" w:lineRule="auto"/>
        <w:ind w:left="381" w:right="15" w:hanging="36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48.</w:t>
      </w:r>
      <w:r>
        <w:rPr>
          <w:rFonts w:hint="eastAsia" w:ascii="仿宋" w:hAnsi="仿宋" w:eastAsia="仿宋" w:cs="仿宋"/>
          <w:spacing w:val="-33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双方对在合同订立和履行过程中知悉的商业秘密、技术资料、经营信息、个人信息及其他非公开信息负有保密义务。</w:t>
      </w:r>
    </w:p>
    <w:p w14:paraId="61D5AA4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1" w:lineRule="auto"/>
        <w:ind w:left="381" w:right="15" w:hanging="360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49.</w:t>
      </w:r>
      <w:r>
        <w:rPr>
          <w:rFonts w:hint="eastAsia" w:ascii="仿宋" w:hAnsi="仿宋" w:eastAsia="仿宋" w:cs="仿宋"/>
          <w:spacing w:val="-23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以下披露不视为违反保密义务：依法向监管部门、认可机构、司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法机关、仲裁机构、行</w:t>
      </w:r>
      <w:r>
        <w:rPr>
          <w:rFonts w:hint="eastAsia" w:ascii="仿宋" w:hAnsi="仿宋" w:eastAsia="仿宋" w:cs="仿宋"/>
          <w:spacing w:val="9"/>
          <w:sz w:val="21"/>
          <w:szCs w:val="21"/>
        </w:rPr>
        <w:t>业方案所有方披露；认证结果依法公开；信息已公开；经信息权利人书面同意披露。</w:t>
      </w:r>
    </w:p>
    <w:p w14:paraId="089A6C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left="409" w:right="16" w:hanging="383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50.</w:t>
      </w:r>
      <w:r>
        <w:rPr>
          <w:rFonts w:hint="eastAsia" w:ascii="仿宋" w:hAnsi="仿宋" w:eastAsia="仿宋" w:cs="仿宋"/>
          <w:spacing w:val="-2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应确保其向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提供个人信息、重要数据或第三方资料具有合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法来源和处理依据。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应采取合理安全措施保护认证档案和数据。</w:t>
      </w:r>
    </w:p>
    <w:p w14:paraId="689FE457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第十四条 知识产权</w:t>
      </w:r>
    </w:p>
    <w:p w14:paraId="448FCE8F">
      <w:pPr>
        <w:pStyle w:val="2"/>
        <w:spacing w:before="177" w:line="332" w:lineRule="auto"/>
        <w:ind w:left="409" w:right="15" w:hanging="38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51.</w:t>
      </w:r>
      <w:r>
        <w:rPr>
          <w:rFonts w:hint="eastAsia" w:ascii="仿宋" w:hAnsi="仿宋" w:eastAsia="仿宋" w:cs="仿宋"/>
          <w:spacing w:val="-1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的认证标志、报告格式、审核方法、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软件系统、培训资料、公开文件等知识产权归</w:t>
      </w:r>
      <w:r>
        <w:rPr>
          <w:rFonts w:hint="eastAsia" w:ascii="仿宋" w:hAnsi="仿宋" w:eastAsia="仿宋" w:cs="仿宋"/>
          <w:spacing w:val="5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5"/>
          <w:sz w:val="21"/>
          <w:szCs w:val="21"/>
        </w:rPr>
        <w:t>或相应权利人所有。</w:t>
      </w:r>
    </w:p>
    <w:p w14:paraId="1AD15F4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0" w:right="15" w:hanging="354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52.</w:t>
      </w:r>
      <w:r>
        <w:rPr>
          <w:rFonts w:hint="eastAsia" w:ascii="仿宋" w:hAnsi="仿宋" w:eastAsia="仿宋" w:cs="仿宋"/>
          <w:spacing w:val="-2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仅在证书有效期和认证范围内获得有限、非独占、不可转让的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证书和认证标志使用</w:t>
      </w:r>
      <w:r>
        <w:rPr>
          <w:rFonts w:hint="eastAsia" w:ascii="仿宋" w:hAnsi="仿宋" w:eastAsia="仿宋" w:cs="仿宋"/>
          <w:sz w:val="21"/>
          <w:szCs w:val="21"/>
        </w:rPr>
        <w:t>权。</w:t>
      </w:r>
    </w:p>
    <w:p w14:paraId="1547F6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1" w:lineRule="auto"/>
        <w:ind w:left="383" w:right="16" w:hanging="357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53.</w:t>
      </w:r>
      <w:r>
        <w:rPr>
          <w:rFonts w:hint="eastAsia" w:ascii="仿宋" w:hAnsi="仿宋" w:eastAsia="仿宋" w:cs="仿宋"/>
          <w:spacing w:val="-2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不得擅自修改、复制、商业化利用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认证材料或使第三方误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认为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对认证范围外事项作出背书。</w:t>
      </w:r>
    </w:p>
    <w:p w14:paraId="57FBE81D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第十五条 违约责任和责任边界</w:t>
      </w:r>
    </w:p>
    <w:p w14:paraId="718FBA83">
      <w:pPr>
        <w:pStyle w:val="2"/>
        <w:spacing w:before="65" w:line="334" w:lineRule="auto"/>
        <w:ind w:left="381" w:right="57" w:hanging="355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54.</w:t>
      </w:r>
      <w:r>
        <w:rPr>
          <w:rFonts w:hint="eastAsia" w:ascii="仿宋" w:hAnsi="仿宋" w:eastAsia="仿宋" w:cs="仿宋"/>
          <w:spacing w:val="-3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任何一方违反本合同约定，给对方造成损失的，应依法承担继续履行、采取补救措施、赔偿损失等违约责任。</w:t>
      </w:r>
    </w:p>
    <w:p w14:paraId="55B73D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1" w:right="57" w:hanging="355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55.</w:t>
      </w:r>
      <w:r>
        <w:rPr>
          <w:rFonts w:hint="eastAsia" w:ascii="仿宋" w:hAnsi="仿宋" w:eastAsia="仿宋" w:cs="仿宋"/>
          <w:spacing w:val="-1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认证活动基于抽样、审核证据和认证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时点作出，认证证书证明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具备符合认证规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则要求的能力，但不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构成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对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产品、服务、管理体系持续绝对合格</w:t>
      </w:r>
      <w:r>
        <w:rPr>
          <w:rFonts w:hint="eastAsia" w:ascii="仿宋" w:hAnsi="仿宋" w:eastAsia="仿宋" w:cs="仿宋"/>
          <w:spacing w:val="8"/>
          <w:sz w:val="21"/>
          <w:szCs w:val="21"/>
        </w:rPr>
        <w:t>、商业表现或法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律合规的担保，也不免除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作为生产经营者、服务提供者或组织管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理者依法应承担的</w:t>
      </w:r>
      <w:r>
        <w:rPr>
          <w:rFonts w:hint="eastAsia" w:ascii="仿宋" w:hAnsi="仿宋" w:eastAsia="仿宋" w:cs="仿宋"/>
          <w:spacing w:val="5"/>
          <w:sz w:val="21"/>
          <w:szCs w:val="21"/>
        </w:rPr>
        <w:t>主体责任。</w:t>
      </w:r>
    </w:p>
    <w:p w14:paraId="1E1927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7" w:right="57" w:hanging="361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56.</w:t>
      </w:r>
      <w:r>
        <w:rPr>
          <w:rFonts w:hint="eastAsia" w:ascii="仿宋" w:hAnsi="仿宋" w:eastAsia="仿宋" w:cs="仿宋"/>
          <w:spacing w:val="-1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不得免除因其故意或重大过失造成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财产损失的责任，不得免除依法应承担的人</w:t>
      </w:r>
      <w:r>
        <w:rPr>
          <w:rFonts w:hint="eastAsia" w:ascii="仿宋" w:hAnsi="仿宋" w:eastAsia="仿宋" w:cs="仿宋"/>
          <w:spacing w:val="5"/>
          <w:sz w:val="21"/>
          <w:szCs w:val="21"/>
        </w:rPr>
        <w:t>身损害责任。</w:t>
      </w:r>
    </w:p>
    <w:p w14:paraId="12EB71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8" w:right="57" w:hanging="362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57.</w:t>
      </w:r>
      <w:r>
        <w:rPr>
          <w:rFonts w:hint="eastAsia" w:ascii="仿宋" w:hAnsi="仿宋" w:eastAsia="仿宋" w:cs="仿宋"/>
          <w:spacing w:val="-2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因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原因导致其认证机构资质暂停、撤销、过期失效等造成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认证证书失效或者产生其他负面影响的，</w:t>
      </w:r>
      <w:r>
        <w:rPr>
          <w:rFonts w:hint="eastAsia" w:ascii="仿宋" w:hAnsi="仿宋" w:eastAsia="仿宋" w:cs="仿宋"/>
          <w:spacing w:val="-5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应当向</w:t>
      </w:r>
      <w:r>
        <w:rPr>
          <w:rFonts w:hint="eastAsia" w:ascii="仿宋" w:hAnsi="仿宋" w:eastAsia="仿宋" w:cs="仿宋"/>
          <w:spacing w:val="7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承担赔偿责任。</w:t>
      </w:r>
    </w:p>
    <w:p w14:paraId="63ACB6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1" w:lineRule="auto"/>
        <w:ind w:left="384" w:right="57" w:hanging="358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58.</w:t>
      </w:r>
      <w:r>
        <w:rPr>
          <w:rFonts w:hint="eastAsia" w:ascii="仿宋" w:hAnsi="仿宋" w:eastAsia="仿宋" w:cs="仿宋"/>
          <w:spacing w:val="-2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因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提供虚假信息、隐瞒事实、误用证书标志</w:t>
      </w:r>
      <w:r>
        <w:rPr>
          <w:rFonts w:hint="eastAsia" w:ascii="仿宋" w:hAnsi="仿宋" w:eastAsia="仿宋" w:cs="仿宋"/>
          <w:spacing w:val="7"/>
          <w:sz w:val="21"/>
          <w:szCs w:val="21"/>
        </w:rPr>
        <w:t>、产品/服务/体系缺陷、违反法律法规</w:t>
      </w:r>
      <w:r>
        <w:rPr>
          <w:rFonts w:hint="eastAsia" w:ascii="仿宋" w:hAnsi="仿宋" w:eastAsia="仿宋" w:cs="仿宋"/>
          <w:spacing w:val="9"/>
          <w:sz w:val="21"/>
          <w:szCs w:val="21"/>
        </w:rPr>
        <w:t>或侵害第三方权利导致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被索赔、处罚或遭受损失的，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应依法承担相应责任。</w:t>
      </w:r>
    </w:p>
    <w:p w14:paraId="4EC09F9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1" w:right="57" w:hanging="355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59.</w:t>
      </w:r>
      <w:r>
        <w:rPr>
          <w:rFonts w:hint="eastAsia" w:ascii="仿宋" w:hAnsi="仿宋" w:eastAsia="仿宋" w:cs="仿宋"/>
          <w:spacing w:val="-3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双方可在不违反法律强制性规定和公平原则的前提下，在附件中约定赔偿责任上限；但</w:t>
      </w:r>
      <w:r>
        <w:rPr>
          <w:rFonts w:hint="eastAsia" w:ascii="仿宋" w:hAnsi="仿宋" w:eastAsia="仿宋" w:cs="仿宋"/>
          <w:spacing w:val="9"/>
          <w:sz w:val="21"/>
          <w:szCs w:val="21"/>
        </w:rPr>
        <w:t>该等上限不适用于故意、重大过失、人身损害、侵犯知识产权、违反保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密义务、商业贿赂或法律规定不得限制责任的情形。</w:t>
      </w:r>
    </w:p>
    <w:p w14:paraId="1070FD43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第十六条 合同解除和终止</w:t>
      </w:r>
    </w:p>
    <w:p w14:paraId="548D9CFC">
      <w:pPr>
        <w:pStyle w:val="2"/>
        <w:spacing w:before="177" w:line="334" w:lineRule="auto"/>
        <w:ind w:left="382" w:right="56" w:hanging="359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60.</w:t>
      </w:r>
      <w:r>
        <w:rPr>
          <w:rFonts w:hint="eastAsia" w:ascii="仿宋" w:hAnsi="仿宋" w:eastAsia="仿宋" w:cs="仿宋"/>
          <w:spacing w:val="-35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双方协商一致可以解除合同。发生法定解除情形或本合同约定解除情形的，守约方可依</w:t>
      </w:r>
      <w:r>
        <w:rPr>
          <w:rFonts w:hint="eastAsia" w:ascii="仿宋" w:hAnsi="仿宋" w:eastAsia="仿宋" w:cs="仿宋"/>
          <w:spacing w:val="6"/>
          <w:sz w:val="21"/>
          <w:szCs w:val="21"/>
        </w:rPr>
        <w:t>法解除合同。</w:t>
      </w:r>
    </w:p>
    <w:p w14:paraId="6838C45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4" w:lineRule="auto"/>
        <w:ind w:left="380" w:right="57" w:hanging="357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61.</w:t>
      </w:r>
      <w:r>
        <w:rPr>
          <w:rFonts w:hint="eastAsia" w:ascii="仿宋" w:hAnsi="仿宋" w:eastAsia="仿宋" w:cs="仿宋"/>
          <w:spacing w:val="-35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一方严重违反合同，经催告后在合理期限内仍未改正，或违约行为致使合同目的不能实</w:t>
      </w:r>
      <w:r>
        <w:rPr>
          <w:rFonts w:hint="eastAsia" w:ascii="仿宋" w:hAnsi="仿宋" w:eastAsia="仿宋" w:cs="仿宋"/>
          <w:spacing w:val="9"/>
          <w:sz w:val="21"/>
          <w:szCs w:val="21"/>
        </w:rPr>
        <w:t>现的，另一方有权解除合同并要求赔偿损失。</w:t>
      </w:r>
    </w:p>
    <w:p w14:paraId="0E1D1FB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3" w:right="57" w:hanging="360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62.</w:t>
      </w:r>
      <w:r>
        <w:rPr>
          <w:rFonts w:hint="eastAsia" w:ascii="仿宋" w:hAnsi="仿宋" w:eastAsia="仿宋" w:cs="仿宋"/>
          <w:spacing w:val="-35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合同终止后，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仍应支付已发生费用，停止使用相关证书、标志和认证声明；双方保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密、知识产权、违约责任、争议解决等条款继续有效。</w:t>
      </w:r>
    </w:p>
    <w:p w14:paraId="4348F462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第十七条 不可抗力和法律标准变化</w:t>
      </w:r>
    </w:p>
    <w:p w14:paraId="0C179AB6">
      <w:pPr>
        <w:pStyle w:val="2"/>
        <w:spacing w:before="177" w:line="332" w:lineRule="auto"/>
        <w:ind w:left="381" w:hanging="358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4"/>
          <w:sz w:val="21"/>
          <w:szCs w:val="21"/>
        </w:rPr>
        <w:t>63.</w:t>
      </w:r>
      <w:r>
        <w:rPr>
          <w:rFonts w:hint="eastAsia" w:ascii="仿宋" w:hAnsi="仿宋" w:eastAsia="仿宋" w:cs="仿宋"/>
          <w:spacing w:val="-19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</w:rPr>
        <w:t>因不可抗力导致不能履行合同的，受影响方应及时通知对方，并在合理期限内提供证明，</w:t>
      </w:r>
      <w:r>
        <w:rPr>
          <w:rFonts w:hint="eastAsia" w:ascii="仿宋" w:hAnsi="仿宋" w:eastAsia="仿宋" w:cs="仿宋"/>
          <w:spacing w:val="9"/>
          <w:sz w:val="21"/>
          <w:szCs w:val="21"/>
        </w:rPr>
        <w:t>根据不可抗力影响程度部分或全部免除责任。</w:t>
      </w:r>
    </w:p>
    <w:p w14:paraId="607658E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0" w:right="57" w:hanging="357"/>
        <w:textAlignment w:val="baseline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64.</w:t>
      </w:r>
      <w:r>
        <w:rPr>
          <w:rFonts w:hint="eastAsia" w:ascii="仿宋" w:hAnsi="仿宋" w:eastAsia="仿宋" w:cs="仿宋"/>
          <w:spacing w:val="-35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法律法规、认证标准、认证规则、认可要求或监管要求发生变化的，双方应按照新要求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协商调整认证安排；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甲方</w:t>
      </w:r>
      <w:r>
        <w:rPr>
          <w:rFonts w:hint="eastAsia" w:ascii="仿宋" w:hAnsi="仿宋" w:eastAsia="仿宋" w:cs="仿宋"/>
          <w:spacing w:val="9"/>
          <w:sz w:val="21"/>
          <w:szCs w:val="21"/>
        </w:rPr>
        <w:t>未按过渡期要求完成转换或补充评价的，</w:t>
      </w:r>
      <w:r>
        <w:rPr>
          <w:rFonts w:hint="eastAsia" w:ascii="仿宋" w:hAnsi="仿宋" w:eastAsia="仿宋" w:cs="仿宋"/>
          <w:spacing w:val="9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可依法处理证书</w:t>
      </w:r>
      <w:r>
        <w:rPr>
          <w:rFonts w:hint="eastAsia" w:ascii="仿宋" w:hAnsi="仿宋" w:eastAsia="仿宋" w:cs="仿宋"/>
          <w:spacing w:val="3"/>
          <w:sz w:val="21"/>
          <w:szCs w:val="21"/>
        </w:rPr>
        <w:t>状态。</w:t>
      </w:r>
    </w:p>
    <w:p w14:paraId="0C653219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第十八条 申诉、投诉和争议解决</w:t>
      </w:r>
    </w:p>
    <w:p w14:paraId="112B24A6">
      <w:pPr>
        <w:spacing w:line="360" w:lineRule="auto"/>
        <w:ind w:left="452" w:hanging="452" w:hangingChars="20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1"/>
          <w:szCs w:val="21"/>
          <w:lang w:val="en-US" w:eastAsia="en-US" w:bidi="ar-SA"/>
        </w:rPr>
        <w:t>65.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1"/>
          <w:szCs w:val="21"/>
          <w:lang w:val="en-US" w:eastAsia="zh-CN" w:bidi="ar-SA"/>
        </w:rPr>
        <w:t>甲方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1"/>
          <w:szCs w:val="21"/>
          <w:lang w:val="en-US" w:eastAsia="en-US" w:bidi="ar-SA"/>
        </w:rPr>
        <w:t>对审核结论、评价结论、认证决定、暂停/撤销/注销决定或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1"/>
          <w:szCs w:val="21"/>
          <w:lang w:val="en-US" w:eastAsia="zh-CN" w:bidi="ar-SA"/>
        </w:rPr>
        <w:t>乙方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1"/>
          <w:szCs w:val="21"/>
          <w:lang w:val="en-US" w:eastAsia="en-US" w:bidi="ar-SA"/>
        </w:rPr>
        <w:t>人员行为有异议的，可按照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1"/>
          <w:szCs w:val="21"/>
          <w:lang w:val="en-US" w:eastAsia="zh-CN" w:bidi="ar-SA"/>
        </w:rPr>
        <w:t>乙方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sz w:val="21"/>
          <w:szCs w:val="21"/>
          <w:lang w:val="en-US" w:eastAsia="en-US" w:bidi="ar-SA"/>
        </w:rPr>
        <w:t>公开的申诉、投诉程序提出。</w:t>
      </w:r>
    </w:p>
    <w:p w14:paraId="1454A520">
      <w:pPr>
        <w:pStyle w:val="2"/>
        <w:spacing w:before="65" w:line="360" w:lineRule="auto"/>
        <w:ind w:left="386" w:right="70" w:hanging="363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8"/>
          <w:sz w:val="21"/>
          <w:szCs w:val="21"/>
        </w:rPr>
        <w:t>66.</w:t>
      </w:r>
      <w:r>
        <w:rPr>
          <w:rFonts w:hint="eastAsia" w:ascii="仿宋" w:hAnsi="仿宋" w:eastAsia="仿宋" w:cs="仿宋"/>
          <w:spacing w:val="-15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申诉、投诉不当然中止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基于安全、监</w:t>
      </w:r>
      <w:r>
        <w:rPr>
          <w:rFonts w:hint="eastAsia" w:ascii="仿宋" w:hAnsi="仿宋" w:eastAsia="仿宋" w:cs="仿宋"/>
          <w:spacing w:val="7"/>
          <w:sz w:val="21"/>
          <w:szCs w:val="21"/>
        </w:rPr>
        <w:t>管或认证规则作出的暂停、撤销、风险控制决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定，但</w:t>
      </w:r>
      <w:r>
        <w:rPr>
          <w:rFonts w:hint="eastAsia" w:ascii="仿宋" w:hAnsi="仿宋" w:eastAsia="仿宋" w:cs="仿宋"/>
          <w:spacing w:val="8"/>
          <w:sz w:val="21"/>
          <w:szCs w:val="21"/>
          <w:lang w:eastAsia="zh-CN"/>
        </w:rPr>
        <w:t>乙方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应依法、公正、及时处理。</w:t>
      </w:r>
    </w:p>
    <w:p w14:paraId="3993F44D">
      <w:pPr>
        <w:pStyle w:val="2"/>
        <w:spacing w:before="195" w:line="333" w:lineRule="auto"/>
        <w:ind w:left="380" w:right="142" w:hanging="357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9"/>
          <w:sz w:val="21"/>
          <w:szCs w:val="21"/>
        </w:rPr>
        <w:t>67.</w:t>
      </w:r>
      <w:r>
        <w:rPr>
          <w:rFonts w:hint="eastAsia" w:ascii="仿宋" w:hAnsi="仿宋" w:eastAsia="仿宋" w:cs="仿宋"/>
          <w:spacing w:val="-2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9"/>
          <w:sz w:val="21"/>
          <w:szCs w:val="21"/>
        </w:rPr>
        <w:t>因本合同产生争议，双方应友好协商；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协商不成的，选择以下第</w:t>
      </w:r>
      <w:r>
        <w:rPr>
          <w:rFonts w:hint="eastAsia" w:ascii="仿宋" w:hAnsi="仿宋" w:eastAsia="仿宋" w:cs="仿宋"/>
          <w:spacing w:val="-9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  <w:lang w:val="en-US" w:eastAsia="zh-CN"/>
        </w:rPr>
        <w:t>（2）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种方式解决</w:t>
      </w:r>
      <w:r>
        <w:rPr>
          <w:rFonts w:hint="eastAsia" w:ascii="仿宋" w:hAnsi="仿宋" w:eastAsia="仿宋" w:cs="仿宋"/>
          <w:spacing w:val="-5"/>
          <w:sz w:val="21"/>
          <w:szCs w:val="21"/>
        </w:rPr>
        <w:t>：（</w:t>
      </w:r>
      <w:r>
        <w:rPr>
          <w:rFonts w:hint="eastAsia" w:ascii="仿宋" w:hAnsi="仿宋" w:eastAsia="仿宋" w:cs="仿宋"/>
          <w:spacing w:val="8"/>
          <w:sz w:val="21"/>
          <w:szCs w:val="21"/>
        </w:rPr>
        <w:t>1）提交</w:t>
      </w:r>
      <w:r>
        <w:rPr>
          <w:rFonts w:hint="eastAsia" w:ascii="仿宋" w:hAnsi="仿宋" w:eastAsia="仿宋" w:cs="仿宋"/>
          <w:spacing w:val="-97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  <w:lang w:val="en-US" w:eastAsia="zh-CN"/>
        </w:rPr>
        <w:t>/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仲裁委员会仲裁</w:t>
      </w:r>
      <w:r>
        <w:rPr>
          <w:rFonts w:hint="eastAsia" w:ascii="仿宋" w:hAnsi="仿宋" w:eastAsia="仿宋" w:cs="仿宋"/>
          <w:spacing w:val="-3"/>
          <w:sz w:val="21"/>
          <w:szCs w:val="21"/>
        </w:rPr>
        <w:t>；（</w:t>
      </w:r>
      <w:r>
        <w:rPr>
          <w:rFonts w:hint="eastAsia" w:ascii="仿宋" w:hAnsi="仿宋" w:eastAsia="仿宋" w:cs="仿宋"/>
          <w:spacing w:val="8"/>
          <w:sz w:val="21"/>
          <w:szCs w:val="21"/>
        </w:rPr>
        <w:t>2）</w:t>
      </w:r>
      <w:r>
        <w:rPr>
          <w:rFonts w:hint="eastAsia" w:ascii="仿宋" w:hAnsi="仿宋" w:eastAsia="仿宋" w:cs="仿宋"/>
          <w:spacing w:val="-5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向</w:t>
      </w:r>
      <w:r>
        <w:rPr>
          <w:rFonts w:hint="eastAsia" w:ascii="仿宋" w:hAnsi="仿宋" w:eastAsia="仿宋" w:cs="仿宋"/>
          <w:spacing w:val="-9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 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  <w:lang w:val="en-US" w:eastAsia="zh-CN"/>
        </w:rPr>
        <w:t>乙方所在地</w:t>
      </w:r>
      <w:r>
        <w:rPr>
          <w:rFonts w:hint="eastAsia" w:ascii="仿宋" w:hAnsi="仿宋" w:eastAsia="仿宋" w:cs="仿宋"/>
          <w:spacing w:val="4"/>
          <w:sz w:val="21"/>
          <w:szCs w:val="21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83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人民法院提起诉讼。该争议解决条款</w:t>
      </w:r>
      <w:r>
        <w:rPr>
          <w:rFonts w:hint="eastAsia" w:ascii="仿宋" w:hAnsi="仿宋" w:eastAsia="仿宋" w:cs="仿宋"/>
          <w:spacing w:val="9"/>
          <w:sz w:val="21"/>
          <w:szCs w:val="21"/>
        </w:rPr>
        <w:t>独立存在，不因合同无效、被撤销、解除或终止而失效。</w:t>
      </w:r>
    </w:p>
    <w:p w14:paraId="73CEB970">
      <w:pPr>
        <w:pStyle w:val="2"/>
        <w:spacing w:before="203" w:line="360" w:lineRule="auto"/>
        <w:ind w:left="22"/>
        <w:outlineLvl w:val="2"/>
        <w:rPr>
          <w:rFonts w:hint="eastAsia" w:ascii="仿宋" w:hAnsi="仿宋" w:eastAsia="仿宋" w:cs="仿宋"/>
          <w:b/>
          <w:bCs/>
          <w:spacing w:val="-2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pacing w:val="-2"/>
          <w:sz w:val="21"/>
          <w:szCs w:val="21"/>
        </w:rPr>
        <w:t>第十九条 附则</w:t>
      </w:r>
    </w:p>
    <w:p w14:paraId="28AB5EBE">
      <w:pPr>
        <w:pStyle w:val="2"/>
        <w:spacing w:before="179" w:line="332" w:lineRule="auto"/>
        <w:ind w:left="381" w:hanging="358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pacing w:val="7"/>
          <w:sz w:val="21"/>
          <w:szCs w:val="21"/>
        </w:rPr>
        <w:t>68.</w:t>
      </w:r>
      <w:r>
        <w:rPr>
          <w:rFonts w:hint="eastAsia" w:ascii="仿宋" w:hAnsi="仿宋" w:eastAsia="仿宋" w:cs="仿宋"/>
          <w:spacing w:val="-30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7"/>
          <w:sz w:val="21"/>
          <w:szCs w:val="21"/>
        </w:rPr>
        <w:t>本合同附件包括但不限于：认证申请书、报价单/费用清单、认证范围清单、</w:t>
      </w:r>
      <w:r>
        <w:rPr>
          <w:rFonts w:hint="eastAsia" w:ascii="仿宋" w:hAnsi="仿宋" w:eastAsia="仿宋" w:cs="仿宋"/>
          <w:spacing w:val="10"/>
          <w:sz w:val="21"/>
          <w:szCs w:val="21"/>
        </w:rPr>
        <w:t>认证规则、认证标志使用规则、审核/评价计划</w:t>
      </w:r>
      <w:r>
        <w:rPr>
          <w:rFonts w:hint="eastAsia" w:ascii="仿宋" w:hAnsi="仿宋" w:eastAsia="仿宋" w:cs="仿宋"/>
          <w:spacing w:val="9"/>
          <w:sz w:val="21"/>
          <w:szCs w:val="21"/>
        </w:rPr>
        <w:t>、数据处理条款、廉洁承诺书等。附件</w:t>
      </w:r>
      <w:r>
        <w:rPr>
          <w:rFonts w:hint="eastAsia" w:ascii="仿宋" w:hAnsi="仿宋" w:eastAsia="仿宋" w:cs="仿宋"/>
          <w:spacing w:val="8"/>
          <w:sz w:val="21"/>
          <w:szCs w:val="21"/>
        </w:rPr>
        <w:t>与本合同具有同等法律效力。</w:t>
      </w:r>
    </w:p>
    <w:p w14:paraId="2CAA45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2" w:lineRule="auto"/>
        <w:ind w:left="383" w:right="17" w:hanging="360"/>
        <w:textAlignment w:val="baseline"/>
        <w:rPr>
          <w:rFonts w:hint="eastAsia" w:ascii="仿宋" w:hAnsi="仿宋" w:eastAsia="仿宋" w:cs="仿宋"/>
          <w:spacing w:val="8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69.</w:t>
      </w:r>
      <w:r>
        <w:rPr>
          <w:rFonts w:hint="eastAsia" w:ascii="仿宋" w:hAnsi="仿宋" w:eastAsia="仿宋" w:cs="仿宋"/>
          <w:spacing w:val="-44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</w:rPr>
        <w:t>本合同未尽事宜，双方可签订补充协议。补</w:t>
      </w:r>
      <w:r>
        <w:rPr>
          <w:rFonts w:hint="eastAsia" w:ascii="仿宋" w:hAnsi="仿宋" w:eastAsia="仿宋" w:cs="仿宋"/>
          <w:spacing w:val="4"/>
          <w:sz w:val="21"/>
          <w:szCs w:val="21"/>
        </w:rPr>
        <w:t>充协议与本合同不一致的，以补充协议为准；</w:t>
      </w:r>
      <w:r>
        <w:rPr>
          <w:rFonts w:hint="eastAsia" w:ascii="仿宋" w:hAnsi="仿宋" w:eastAsia="仿宋" w:cs="仿宋"/>
          <w:spacing w:val="8"/>
          <w:sz w:val="21"/>
          <w:szCs w:val="21"/>
        </w:rPr>
        <w:t>经双方个别协商的条款优先于格式条款。</w:t>
      </w:r>
    </w:p>
    <w:p w14:paraId="7AEF6D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left="27"/>
        <w:textAlignment w:val="baseline"/>
        <w:rPr>
          <w:rFonts w:hint="eastAsia" w:ascii="仿宋" w:hAnsi="仿宋" w:eastAsia="仿宋" w:cs="仿宋"/>
          <w:spacing w:val="5"/>
          <w:sz w:val="21"/>
          <w:szCs w:val="21"/>
        </w:rPr>
      </w:pPr>
      <w:r>
        <w:rPr>
          <w:rFonts w:hint="eastAsia" w:ascii="仿宋" w:hAnsi="仿宋" w:eastAsia="仿宋" w:cs="仿宋"/>
          <w:spacing w:val="5"/>
          <w:sz w:val="21"/>
          <w:szCs w:val="21"/>
        </w:rPr>
        <w:t>70.</w:t>
      </w:r>
      <w:r>
        <w:rPr>
          <w:rFonts w:hint="eastAsia" w:ascii="仿宋" w:hAnsi="仿宋" w:eastAsia="仿宋" w:cs="仿宋"/>
          <w:spacing w:val="-30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</w:rPr>
        <w:t>本合同一式</w:t>
      </w:r>
      <w:r>
        <w:rPr>
          <w:rFonts w:hint="eastAsia" w:ascii="仿宋" w:hAnsi="仿宋" w:eastAsia="仿宋" w:cs="仿宋"/>
          <w:b/>
          <w:bCs/>
          <w:spacing w:val="5"/>
          <w:sz w:val="21"/>
          <w:szCs w:val="21"/>
          <w:u w:val="single"/>
          <w:lang w:val="en-US" w:eastAsia="zh-CN"/>
        </w:rPr>
        <w:t xml:space="preserve"> 贰 </w:t>
      </w:r>
      <w:r>
        <w:rPr>
          <w:rFonts w:hint="eastAsia" w:ascii="仿宋" w:hAnsi="仿宋" w:eastAsia="仿宋" w:cs="仿宋"/>
          <w:spacing w:val="5"/>
          <w:sz w:val="21"/>
          <w:szCs w:val="21"/>
        </w:rPr>
        <w:t>份，双方各执</w:t>
      </w:r>
      <w:r>
        <w:rPr>
          <w:rFonts w:hint="eastAsia" w:ascii="仿宋" w:hAnsi="仿宋" w:eastAsia="仿宋" w:cs="仿宋"/>
          <w:spacing w:val="-98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1"/>
          <w:szCs w:val="21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1"/>
          <w:szCs w:val="21"/>
          <w:u w:val="single" w:color="auto"/>
          <w:lang w:val="en-US" w:eastAsia="zh-CN"/>
        </w:rPr>
        <w:t>壹</w:t>
      </w:r>
      <w:r>
        <w:rPr>
          <w:rFonts w:hint="eastAsia" w:ascii="仿宋" w:hAnsi="仿宋" w:eastAsia="仿宋" w:cs="仿宋"/>
          <w:b/>
          <w:bCs/>
          <w:spacing w:val="4"/>
          <w:sz w:val="21"/>
          <w:szCs w:val="21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91"/>
          <w:sz w:val="21"/>
          <w:szCs w:val="21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</w:rPr>
        <w:t>份，</w:t>
      </w:r>
      <w:r>
        <w:rPr>
          <w:rFonts w:hint="eastAsia" w:ascii="仿宋" w:hAnsi="仿宋" w:eastAsia="仿宋" w:cs="仿宋"/>
          <w:spacing w:val="-44"/>
          <w:sz w:val="21"/>
          <w:szCs w:val="21"/>
        </w:rPr>
        <w:t xml:space="preserve"> </w:t>
      </w:r>
      <w:r>
        <w:rPr>
          <w:rFonts w:hint="eastAsia" w:ascii="仿宋" w:hAnsi="仿宋" w:eastAsia="仿宋" w:cs="仿宋"/>
          <w:spacing w:val="5"/>
          <w:sz w:val="21"/>
          <w:szCs w:val="21"/>
        </w:rPr>
        <w:t>自双方签字盖章之日起生效。</w:t>
      </w:r>
    </w:p>
    <w:p w14:paraId="4D5DF2F7">
      <w:pPr>
        <w:spacing w:line="262" w:lineRule="auto"/>
        <w:rPr>
          <w:rFonts w:hint="default" w:ascii="仿宋" w:hAnsi="仿宋" w:eastAsia="仿宋" w:cs="仿宋"/>
          <w:sz w:val="21"/>
          <w:szCs w:val="21"/>
          <w:lang w:val="en-US" w:eastAsia="zh-CN"/>
        </w:rPr>
      </w:pPr>
    </w:p>
    <w:p w14:paraId="24976F26">
      <w:pPr>
        <w:pStyle w:val="2"/>
        <w:spacing w:before="65" w:line="226" w:lineRule="auto"/>
        <w:ind w:left="50"/>
        <w:rPr>
          <w:rFonts w:hint="eastAsia" w:ascii="仿宋" w:hAnsi="仿宋" w:eastAsia="仿宋" w:cs="仿宋"/>
          <w:b/>
          <w:bCs/>
          <w:spacing w:val="3"/>
          <w:sz w:val="21"/>
          <w:szCs w:val="21"/>
          <w:lang w:val="en-US" w:eastAsia="zh-CN"/>
        </w:rPr>
      </w:pPr>
    </w:p>
    <w:p w14:paraId="397C67B3">
      <w:pPr>
        <w:pStyle w:val="2"/>
        <w:spacing w:before="65" w:line="226" w:lineRule="auto"/>
        <w:ind w:left="50"/>
        <w:rPr>
          <w:rFonts w:hint="eastAsia" w:ascii="仿宋" w:hAnsi="仿宋" w:eastAsia="仿宋" w:cs="仿宋"/>
          <w:b/>
          <w:bCs/>
          <w:spacing w:val="3"/>
          <w:sz w:val="21"/>
          <w:szCs w:val="21"/>
          <w:lang w:val="en-US" w:eastAsia="zh-CN"/>
        </w:rPr>
      </w:pPr>
    </w:p>
    <w:p w14:paraId="5A2335D8">
      <w:pPr>
        <w:pStyle w:val="2"/>
        <w:spacing w:before="65" w:line="226" w:lineRule="auto"/>
        <w:ind w:left="50"/>
        <w:rPr>
          <w:rFonts w:hint="default" w:ascii="仿宋" w:hAnsi="仿宋" w:eastAsia="仿宋" w:cs="仿宋"/>
          <w:b/>
          <w:bCs/>
          <w:spacing w:val="1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3"/>
          <w:sz w:val="24"/>
          <w:szCs w:val="24"/>
          <w:lang w:val="en-US" w:eastAsia="zh-CN"/>
        </w:rPr>
        <w:t>甲</w:t>
      </w:r>
      <w:r>
        <w:rPr>
          <w:rFonts w:hint="eastAsia" w:ascii="仿宋" w:hAnsi="仿宋" w:eastAsia="仿宋" w:cs="仿宋"/>
          <w:b/>
          <w:bCs/>
          <w:spacing w:val="3"/>
          <w:sz w:val="24"/>
          <w:szCs w:val="24"/>
          <w:lang w:eastAsia="zh-CN"/>
        </w:rPr>
        <w:t>方</w:t>
      </w:r>
      <w:r>
        <w:rPr>
          <w:rFonts w:hint="eastAsia" w:ascii="仿宋" w:hAnsi="仿宋" w:eastAsia="仿宋" w:cs="仿宋"/>
          <w:b/>
          <w:bCs/>
          <w:spacing w:val="3"/>
          <w:sz w:val="24"/>
          <w:szCs w:val="24"/>
        </w:rPr>
        <w:t>（盖章</w:t>
      </w:r>
      <w:r>
        <w:rPr>
          <w:rFonts w:hint="eastAsia" w:ascii="仿宋" w:hAnsi="仿宋" w:eastAsia="仿宋" w:cs="仿宋"/>
          <w:b/>
          <w:bCs/>
          <w:spacing w:val="12"/>
          <w:sz w:val="24"/>
          <w:szCs w:val="24"/>
        </w:rPr>
        <w:t>）：</w:t>
      </w:r>
      <w:r>
        <w:rPr>
          <w:rFonts w:hint="eastAsia" w:ascii="仿宋" w:hAnsi="仿宋" w:eastAsia="仿宋" w:cs="仿宋"/>
          <w:b/>
          <w:bCs/>
          <w:spacing w:val="12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b/>
          <w:bCs/>
          <w:spacing w:val="3"/>
          <w:sz w:val="24"/>
          <w:szCs w:val="24"/>
          <w:lang w:val="en-US" w:eastAsia="zh-CN"/>
        </w:rPr>
        <w:t>乙</w:t>
      </w:r>
      <w:r>
        <w:rPr>
          <w:rFonts w:hint="eastAsia" w:ascii="仿宋" w:hAnsi="仿宋" w:eastAsia="仿宋" w:cs="仿宋"/>
          <w:b/>
          <w:bCs/>
          <w:spacing w:val="3"/>
          <w:sz w:val="24"/>
          <w:szCs w:val="24"/>
          <w:lang w:eastAsia="zh-CN"/>
        </w:rPr>
        <w:t>方</w:t>
      </w:r>
      <w:r>
        <w:rPr>
          <w:rFonts w:hint="eastAsia" w:ascii="仿宋" w:hAnsi="仿宋" w:eastAsia="仿宋" w:cs="仿宋"/>
          <w:b/>
          <w:bCs/>
          <w:spacing w:val="3"/>
          <w:sz w:val="24"/>
          <w:szCs w:val="24"/>
        </w:rPr>
        <w:t>（盖章</w:t>
      </w:r>
      <w:r>
        <w:rPr>
          <w:rFonts w:hint="eastAsia" w:ascii="仿宋" w:hAnsi="仿宋" w:eastAsia="仿宋" w:cs="仿宋"/>
          <w:b/>
          <w:bCs/>
          <w:spacing w:val="12"/>
          <w:sz w:val="24"/>
          <w:szCs w:val="24"/>
        </w:rPr>
        <w:t>）：</w:t>
      </w:r>
    </w:p>
    <w:p w14:paraId="750E8A9C">
      <w:pPr>
        <w:pStyle w:val="2"/>
        <w:spacing w:before="65" w:line="226" w:lineRule="auto"/>
        <w:ind w:left="5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b/>
          <w:bCs/>
          <w:spacing w:val="15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b/>
          <w:bCs/>
          <w:spacing w:val="15"/>
          <w:sz w:val="24"/>
          <w:szCs w:val="24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/>
          <w:bCs/>
          <w:spacing w:val="15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  <w:lang w:val="en-US" w:eastAsia="zh-CN"/>
        </w:rPr>
        <w:t>安徽中青检验认证服务有限公司</w:t>
      </w:r>
    </w:p>
    <w:p w14:paraId="31F8F051">
      <w:pPr>
        <w:pStyle w:val="2"/>
        <w:spacing w:before="206" w:line="227" w:lineRule="auto"/>
        <w:ind w:left="2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pacing w:val="6"/>
          <w:sz w:val="24"/>
          <w:szCs w:val="24"/>
        </w:rPr>
        <w:t>授权代表：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  <w:u w:val="single" w:color="auto"/>
        </w:rPr>
        <w:t xml:space="preserve">            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</w:rPr>
        <w:t xml:space="preserve">     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pacing w:val="6"/>
          <w:sz w:val="24"/>
          <w:szCs w:val="24"/>
        </w:rPr>
        <w:t>授权代表：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 w:color="auto"/>
        </w:rPr>
        <w:t xml:space="preserve">             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 w:color="auto"/>
        </w:rPr>
        <w:t xml:space="preserve">  </w:t>
      </w:r>
    </w:p>
    <w:p w14:paraId="2DD8CA93">
      <w:pPr>
        <w:pStyle w:val="2"/>
        <w:spacing w:before="203" w:line="227" w:lineRule="auto"/>
        <w:ind w:left="58"/>
        <w:rPr>
          <w:rFonts w:hint="eastAsia" w:ascii="仿宋" w:hAnsi="仿宋" w:eastAsia="仿宋" w:cs="仿宋"/>
          <w:b/>
          <w:bCs/>
          <w:spacing w:val="-6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日期：</w:t>
      </w:r>
      <w:r>
        <w:rPr>
          <w:rFonts w:hint="eastAsia" w:ascii="仿宋" w:hAnsi="仿宋" w:eastAsia="仿宋" w:cs="仿宋"/>
          <w:b/>
          <w:bCs/>
          <w:spacing w:val="7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7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pacing w:val="7"/>
          <w:sz w:val="24"/>
          <w:szCs w:val="24"/>
          <w:u w:val="single" w:color="auto"/>
        </w:rPr>
        <w:t xml:space="preserve">   </w:t>
      </w:r>
      <w:r>
        <w:rPr>
          <w:rFonts w:hint="eastAsia" w:ascii="仿宋" w:hAnsi="仿宋" w:eastAsia="仿宋" w:cs="仿宋"/>
          <w:b/>
          <w:bCs/>
          <w:spacing w:val="-9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bCs/>
          <w:spacing w:val="-98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81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spacing w:val="-98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55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日</w:t>
      </w:r>
      <w:r>
        <w:rPr>
          <w:rFonts w:hint="eastAsia" w:ascii="仿宋" w:hAnsi="仿宋" w:eastAsia="仿宋" w:cs="仿宋"/>
          <w:b/>
          <w:bCs/>
          <w:spacing w:val="1"/>
          <w:sz w:val="24"/>
          <w:szCs w:val="24"/>
        </w:rPr>
        <w:t xml:space="preserve">       </w:t>
      </w:r>
      <w:r>
        <w:rPr>
          <w:rFonts w:hint="eastAsia" w:ascii="仿宋" w:hAnsi="仿宋" w:eastAsia="仿宋" w:cs="仿宋"/>
          <w:b/>
          <w:bCs/>
          <w:spacing w:val="1"/>
          <w:sz w:val="24"/>
          <w:szCs w:val="24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日期：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</w:rPr>
        <w:t xml:space="preserve">   </w:t>
      </w:r>
      <w:r>
        <w:rPr>
          <w:rFonts w:hint="eastAsia" w:ascii="仿宋" w:hAnsi="仿宋" w:eastAsia="仿宋" w:cs="仿宋"/>
          <w:b/>
          <w:bCs/>
          <w:spacing w:val="-87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pacing w:val="-79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仿宋" w:hAnsi="仿宋" w:eastAsia="仿宋" w:cs="仿宋"/>
          <w:b/>
          <w:bCs/>
          <w:spacing w:val="4"/>
          <w:sz w:val="24"/>
          <w:szCs w:val="24"/>
          <w:u w:val="singl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pacing w:val="-52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4"/>
          <w:szCs w:val="24"/>
        </w:rPr>
        <w:t>日</w:t>
      </w:r>
    </w:p>
    <w:p w14:paraId="6CE9B5F5">
      <w:pPr>
        <w:pStyle w:val="2"/>
        <w:spacing w:before="203" w:line="227" w:lineRule="auto"/>
        <w:rPr>
          <w:b/>
          <w:bCs/>
          <w:spacing w:val="-6"/>
        </w:rPr>
      </w:pPr>
    </w:p>
    <w:p w14:paraId="6B704F2D">
      <w:pPr>
        <w:pStyle w:val="2"/>
        <w:spacing w:before="203" w:line="227" w:lineRule="auto"/>
        <w:rPr>
          <w:b/>
          <w:bCs/>
          <w:spacing w:val="-6"/>
        </w:rPr>
      </w:pPr>
    </w:p>
    <w:p w14:paraId="65F4711E">
      <w:pPr>
        <w:pStyle w:val="2"/>
        <w:spacing w:before="203" w:line="240" w:lineRule="auto"/>
        <w:ind w:left="58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784FDB90">
      <w:pPr>
        <w:pStyle w:val="2"/>
        <w:spacing w:before="203" w:line="240" w:lineRule="auto"/>
        <w:ind w:left="58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0F9EB1D3">
      <w:pPr>
        <w:pStyle w:val="2"/>
        <w:spacing w:before="203" w:line="240" w:lineRule="auto"/>
        <w:ind w:left="58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22681299">
      <w:pPr>
        <w:pStyle w:val="2"/>
        <w:spacing w:before="203" w:line="240" w:lineRule="auto"/>
        <w:ind w:left="58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1B4F0B05">
      <w:pPr>
        <w:pStyle w:val="2"/>
        <w:spacing w:before="203" w:line="240" w:lineRule="auto"/>
        <w:ind w:left="58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58EDEFE9">
      <w:pPr>
        <w:pStyle w:val="2"/>
        <w:spacing w:before="203" w:line="240" w:lineRule="auto"/>
        <w:ind w:left="58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4A0D8E1B">
      <w:pPr>
        <w:pStyle w:val="2"/>
        <w:spacing w:before="203" w:line="240" w:lineRule="auto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6934874F">
      <w:pPr>
        <w:pStyle w:val="2"/>
        <w:spacing w:before="203" w:line="240" w:lineRule="auto"/>
        <w:rPr>
          <w:rFonts w:hint="eastAsia" w:ascii="仿宋" w:hAnsi="仿宋" w:eastAsia="仿宋" w:cs="仿宋"/>
          <w:b/>
          <w:bCs/>
          <w:spacing w:val="-6"/>
          <w:sz w:val="21"/>
          <w:szCs w:val="21"/>
        </w:rPr>
      </w:pPr>
    </w:p>
    <w:p w14:paraId="2EF2DCED">
      <w:pPr>
        <w:rPr>
          <w:rFonts w:hint="eastAsia" w:ascii="仿宋" w:hAnsi="仿宋" w:eastAsia="仿宋" w:cs="仿宋"/>
        </w:rPr>
      </w:pPr>
    </w:p>
    <w:p w14:paraId="4C31B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宋体" w:hAnsi="宋体" w:eastAsia="宋体" w:cs="宋体"/>
          <w:b/>
          <w:color w:val="auto"/>
          <w:sz w:val="43"/>
          <w:szCs w:val="43"/>
        </w:rPr>
      </w:pPr>
      <w:r>
        <w:rPr>
          <w:rFonts w:hint="eastAsia" w:ascii="宋体" w:hAnsi="宋体" w:eastAsia="宋体" w:cs="宋体"/>
          <w:b/>
          <w:color w:val="auto"/>
          <w:sz w:val="43"/>
          <w:szCs w:val="43"/>
        </w:rPr>
        <w:t>获证组织承诺书</w:t>
      </w:r>
    </w:p>
    <w:p w14:paraId="28EFA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(与认证合同/协议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及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监督审核确认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同步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签署)</w:t>
      </w:r>
    </w:p>
    <w:p w14:paraId="08472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284" w:hanging="284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我单位已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悉贵方提供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或官网公布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的管理体系认证《公开文件》，充分知悉并郑重承诺如下：</w:t>
      </w:r>
    </w:p>
    <w:p w14:paraId="28114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79" w:leftChars="228"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一、持续有效运行管理体系，规范使用认证证书、认证标志及相关信息；不以任何方式将管理体系认证证书及文字、符号用于暗示产品或服务已通过产品认证、服务认证或其他专项认证，杜绝误导公众。</w:t>
      </w:r>
    </w:p>
    <w:p w14:paraId="628F3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79" w:leftChars="228"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二、严格遵守《认证认可条例》等法律法规，积极配合认证监管部门的监督检查，如实提供所需材料与信息，及时回应问询与调查。</w:t>
      </w:r>
    </w:p>
    <w:p w14:paraId="03057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60" w:firstLineChars="4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三、全面履行认证合同约定的费用支付义务、付款方式及违约责任。</w:t>
      </w:r>
    </w:p>
    <w:p w14:paraId="3BED8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79" w:leftChars="228" w:firstLine="48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四、恪守《公开文件》所载各项权利、义务与责任；管理体系发生下列情形之一时，须于5个工作日内书面通知安徽中青检验认证服务有限公司：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a) 收到客户或相关方重大投诉；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b) 产品或服务被执法监管部门认定不符合法定要求；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c) 发生质量、环境或安全事故；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d) 组织结构发生重大调整（含法律地位、所有权、名称、管理体系文件、关键岗位人员、主要设备设施等变更）；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e) 行政许可、强制性认证及其他重要资质发生变更；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f) 法定代表人、最高管理者或管理者代表变更；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g) 工作场所或管理体系覆盖活动范围发生变化；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h) 管理体系或关键过程发生重大变更；</w:t>
      </w:r>
      <w:r>
        <w:rPr>
          <w:rFonts w:hint="eastAsia" w:ascii="仿宋" w:hAnsi="仿宋" w:eastAsia="仿宋" w:cs="仿宋"/>
          <w:color w:val="auto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i) 其他影响管理体系持续符合性的重要情况（如通讯地址、联系电话等变更）。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   </w:t>
      </w:r>
    </w:p>
    <w:p w14:paraId="044E3C5A"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50789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79" w:leftChars="228"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承诺人(法人或管理者代表签字):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</w:t>
      </w:r>
    </w:p>
    <w:p w14:paraId="1A08A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79" w:leftChars="228" w:firstLine="482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单位(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盖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章):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</w:t>
      </w:r>
    </w:p>
    <w:p w14:paraId="52845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79" w:leftChars="228" w:firstLine="482" w:firstLineChars="200"/>
        <w:textAlignment w:val="auto"/>
        <w:rPr>
          <w:b/>
          <w:bCs/>
          <w:color w:val="auto"/>
          <w:spacing w:val="-6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日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期: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</w:t>
      </w:r>
    </w:p>
    <w:sectPr>
      <w:headerReference r:id="rId5" w:type="default"/>
      <w:footerReference r:id="rId6" w:type="default"/>
      <w:pgSz w:w="11906" w:h="16838"/>
      <w:pgMar w:top="1440" w:right="1134" w:bottom="1440" w:left="1134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9774" w:type="dxa"/>
      <w:tblInd w:w="108" w:type="dxa"/>
      <w:tblBorders>
        <w:top w:val="thickThinSmallGap" w:color="auto" w:sz="2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19"/>
      <w:gridCol w:w="7655"/>
    </w:tblGrid>
    <w:tr w14:paraId="5003EA2B">
      <w:tblPrEx>
        <w:tblBorders>
          <w:top w:val="thickThinSmallGap" w:color="auto" w:sz="2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119" w:type="dxa"/>
          <w:tcBorders>
            <w:top w:val="thickThinSmallGap" w:color="auto" w:sz="24" w:space="0"/>
          </w:tcBorders>
          <w:noWrap w:val="0"/>
          <w:vAlign w:val="top"/>
        </w:tcPr>
        <w:p w14:paraId="3A4F62ED">
          <w:pPr>
            <w:pStyle w:val="3"/>
            <w:rPr>
              <w:rFonts w:ascii="黑体" w:eastAsia="黑体"/>
              <w:b/>
              <w:bCs/>
              <w:lang w:val="en-US" w:eastAsia="zh-CN"/>
            </w:rPr>
          </w:pPr>
          <w:r>
            <w:rPr>
              <w:rFonts w:hint="eastAsia" w:ascii="黑体" w:eastAsia="黑体" w:cs="黑体"/>
              <w:b/>
              <w:bCs/>
              <w:lang w:val="en-US" w:eastAsia="zh-CN"/>
            </w:rPr>
            <w:t>版本：2026 版</w:t>
          </w:r>
        </w:p>
      </w:tc>
      <w:tc>
        <w:tcPr>
          <w:tcW w:w="7655" w:type="dxa"/>
          <w:tcBorders>
            <w:top w:val="thickThinSmallGap" w:color="auto" w:sz="24" w:space="0"/>
          </w:tcBorders>
          <w:noWrap w:val="0"/>
          <w:vAlign w:val="top"/>
        </w:tcPr>
        <w:p w14:paraId="69567DAE">
          <w:pPr>
            <w:pStyle w:val="3"/>
            <w:rPr>
              <w:rFonts w:ascii="黑体" w:eastAsia="黑体"/>
              <w:b/>
              <w:bCs/>
              <w:lang w:val="en-US" w:eastAsia="zh-CN"/>
            </w:rPr>
          </w:pPr>
          <w:r>
            <w:rPr>
              <w:rFonts w:hint="eastAsia" w:ascii="黑体" w:eastAsia="黑体" w:cs="黑体"/>
              <w:b/>
              <w:bCs/>
              <w:lang w:val="en-US" w:eastAsia="zh-CN"/>
            </w:rPr>
            <w:t>发布</w:t>
          </w:r>
          <w:r>
            <w:rPr>
              <w:rFonts w:ascii="黑体" w:eastAsia="黑体" w:cs="黑体"/>
              <w:b/>
              <w:bCs/>
              <w:lang w:val="en-US" w:eastAsia="zh-CN"/>
            </w:rPr>
            <w:t>/</w:t>
          </w:r>
          <w:r>
            <w:rPr>
              <w:rFonts w:hint="eastAsia" w:ascii="黑体" w:eastAsia="黑体" w:cs="黑体"/>
              <w:b/>
              <w:bCs/>
              <w:lang w:val="en-US" w:eastAsia="zh-CN"/>
            </w:rPr>
            <w:t>修订日期：</w:t>
          </w:r>
          <w:r>
            <w:rPr>
              <w:rFonts w:ascii="黑体" w:eastAsia="黑体" w:cs="黑体"/>
              <w:b/>
              <w:bCs/>
              <w:lang w:val="en-US" w:eastAsia="zh-CN"/>
            </w:rPr>
            <w:t>202</w:t>
          </w:r>
          <w:r>
            <w:rPr>
              <w:rFonts w:hint="eastAsia" w:ascii="黑体" w:eastAsia="黑体" w:cs="黑体"/>
              <w:b/>
              <w:bCs/>
              <w:lang w:val="en-US" w:eastAsia="zh-CN"/>
            </w:rPr>
            <w:t>6-08-25          实施日期：20</w:t>
          </w:r>
          <w:r>
            <w:rPr>
              <w:rFonts w:ascii="黑体" w:eastAsia="黑体" w:cs="黑体"/>
              <w:b/>
              <w:bCs/>
              <w:lang w:val="en-US" w:eastAsia="zh-CN"/>
            </w:rPr>
            <w:t>2</w:t>
          </w:r>
          <w:r>
            <w:rPr>
              <w:rFonts w:hint="eastAsia" w:ascii="黑体" w:eastAsia="黑体" w:cs="黑体"/>
              <w:b/>
              <w:bCs/>
              <w:lang w:val="en-US" w:eastAsia="zh-CN"/>
            </w:rPr>
            <w:t>6-9-15</w:t>
          </w:r>
          <w:r>
            <w:rPr>
              <w:rFonts w:ascii="黑体" w:eastAsia="黑体" w:cs="黑体"/>
              <w:b/>
              <w:bCs/>
              <w:lang w:val="en-US" w:eastAsia="zh-CN"/>
            </w:rPr>
            <w:t xml:space="preserve">  </w:t>
          </w:r>
          <w:r>
            <w:rPr>
              <w:rFonts w:hint="eastAsia" w:ascii="黑体" w:eastAsia="黑体" w:cs="黑体"/>
              <w:b/>
              <w:bCs/>
              <w:lang w:val="en-US" w:eastAsia="zh-CN"/>
            </w:rPr>
            <w:t xml:space="preserve">       第</w:t>
          </w:r>
          <w:r>
            <w:rPr>
              <w:rFonts w:ascii="黑体" w:eastAsia="黑体" w:cs="黑体"/>
              <w:b/>
              <w:bCs/>
              <w:lang w:val="en-US" w:eastAsia="zh-CN"/>
            </w:rPr>
            <w:t xml:space="preserve"> </w:t>
          </w:r>
          <w:r>
            <w:rPr>
              <w:rFonts w:ascii="黑体" w:eastAsia="黑体" w:cs="黑体"/>
              <w:b/>
              <w:bCs/>
              <w:lang w:val="en-US" w:eastAsia="zh-CN"/>
            </w:rPr>
            <w:fldChar w:fldCharType="begin"/>
          </w:r>
          <w:r>
            <w:rPr>
              <w:rFonts w:ascii="黑体" w:eastAsia="黑体" w:cs="黑体"/>
              <w:b/>
              <w:bCs/>
              <w:lang w:val="en-US" w:eastAsia="zh-CN"/>
            </w:rPr>
            <w:instrText xml:space="preserve"> PAGE </w:instrText>
          </w:r>
          <w:r>
            <w:rPr>
              <w:rFonts w:ascii="黑体" w:eastAsia="黑体" w:cs="黑体"/>
              <w:b/>
              <w:bCs/>
              <w:lang w:val="en-US" w:eastAsia="zh-CN"/>
            </w:rPr>
            <w:fldChar w:fldCharType="separate"/>
          </w:r>
          <w:r>
            <w:rPr>
              <w:rFonts w:ascii="黑体" w:eastAsia="黑体" w:cs="黑体"/>
              <w:b/>
              <w:bCs/>
              <w:lang w:val="en-US" w:eastAsia="zh-CN"/>
            </w:rPr>
            <w:t>11</w:t>
          </w:r>
          <w:r>
            <w:rPr>
              <w:rFonts w:ascii="黑体" w:eastAsia="黑体" w:cs="黑体"/>
              <w:b/>
              <w:bCs/>
              <w:lang w:val="en-US" w:eastAsia="zh-CN"/>
            </w:rPr>
            <w:fldChar w:fldCharType="end"/>
          </w:r>
          <w:r>
            <w:rPr>
              <w:rFonts w:ascii="黑体" w:eastAsia="黑体" w:cs="黑体"/>
              <w:b/>
              <w:bCs/>
              <w:lang w:val="en-US" w:eastAsia="zh-CN"/>
            </w:rPr>
            <w:t xml:space="preserve"> </w:t>
          </w:r>
          <w:r>
            <w:rPr>
              <w:rFonts w:hint="eastAsia" w:ascii="黑体" w:eastAsia="黑体" w:cs="黑体"/>
              <w:b/>
              <w:bCs/>
              <w:lang w:val="en-US" w:eastAsia="zh-CN"/>
            </w:rPr>
            <w:t>页</w:t>
          </w:r>
          <w:r>
            <w:rPr>
              <w:rFonts w:ascii="黑体" w:eastAsia="黑体" w:cs="黑体"/>
              <w:b/>
              <w:bCs/>
              <w:lang w:val="en-US" w:eastAsia="zh-CN"/>
            </w:rPr>
            <w:t xml:space="preserve"> </w:t>
          </w:r>
          <w:r>
            <w:rPr>
              <w:rFonts w:hint="eastAsia" w:ascii="黑体" w:eastAsia="黑体" w:cs="黑体"/>
              <w:b/>
              <w:bCs/>
              <w:lang w:val="en-US" w:eastAsia="zh-CN"/>
            </w:rPr>
            <w:t>共</w:t>
          </w:r>
          <w:r>
            <w:rPr>
              <w:rFonts w:ascii="黑体" w:eastAsia="黑体" w:cs="黑体"/>
              <w:b/>
              <w:bCs/>
              <w:lang w:val="en-US" w:eastAsia="zh-CN"/>
            </w:rPr>
            <w:t xml:space="preserve"> </w:t>
          </w:r>
          <w:r>
            <w:rPr>
              <w:rFonts w:ascii="黑体" w:eastAsia="黑体" w:cs="黑体"/>
              <w:b/>
              <w:bCs/>
              <w:lang w:val="en-US" w:eastAsia="zh-CN"/>
            </w:rPr>
            <w:fldChar w:fldCharType="begin"/>
          </w:r>
          <w:r>
            <w:rPr>
              <w:rFonts w:ascii="黑体" w:eastAsia="黑体" w:cs="黑体"/>
              <w:b/>
              <w:bCs/>
              <w:lang w:val="en-US" w:eastAsia="zh-CN"/>
            </w:rPr>
            <w:instrText xml:space="preserve"> NUMPAGES </w:instrText>
          </w:r>
          <w:r>
            <w:rPr>
              <w:rFonts w:ascii="黑体" w:eastAsia="黑体" w:cs="黑体"/>
              <w:b/>
              <w:bCs/>
              <w:lang w:val="en-US" w:eastAsia="zh-CN"/>
            </w:rPr>
            <w:fldChar w:fldCharType="separate"/>
          </w:r>
          <w:r>
            <w:rPr>
              <w:rFonts w:ascii="黑体" w:eastAsia="黑体" w:cs="黑体"/>
              <w:b/>
              <w:bCs/>
              <w:lang w:val="en-US" w:eastAsia="zh-CN"/>
            </w:rPr>
            <w:t>12</w:t>
          </w:r>
          <w:r>
            <w:rPr>
              <w:rFonts w:ascii="黑体" w:eastAsia="黑体" w:cs="黑体"/>
              <w:b/>
              <w:bCs/>
              <w:lang w:val="en-US" w:eastAsia="zh-CN"/>
            </w:rPr>
            <w:fldChar w:fldCharType="end"/>
          </w:r>
          <w:r>
            <w:rPr>
              <w:rFonts w:ascii="黑体" w:eastAsia="黑体" w:cs="黑体"/>
              <w:b/>
              <w:bCs/>
              <w:lang w:val="en-US" w:eastAsia="zh-CN"/>
            </w:rPr>
            <w:t xml:space="preserve"> </w:t>
          </w:r>
          <w:r>
            <w:rPr>
              <w:rFonts w:hint="eastAsia" w:ascii="黑体" w:eastAsia="黑体" w:cs="黑体"/>
              <w:b/>
              <w:bCs/>
              <w:lang w:val="en-US" w:eastAsia="zh-CN"/>
            </w:rPr>
            <w:t>页</w:t>
          </w:r>
        </w:p>
      </w:tc>
    </w:tr>
  </w:tbl>
  <w:p w14:paraId="7AFBC18B">
    <w:pPr>
      <w:pStyle w:val="2"/>
      <w:spacing w:line="237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30580">
    <w:pPr>
      <w:pStyle w:val="4"/>
      <w:ind w:firstLine="900" w:firstLineChars="300"/>
      <w:jc w:val="both"/>
      <w:rPr>
        <w:rFonts w:hint="default"/>
        <w:sz w:val="21"/>
        <w:szCs w:val="21"/>
        <w:lang w:val="en-US" w:eastAsia="zh-CN"/>
      </w:rPr>
    </w:pPr>
    <w:r>
      <w:rPr>
        <w:rFonts w:hint="eastAsia"/>
        <w:sz w:val="30"/>
        <w:szCs w:val="3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-337185</wp:posOffset>
          </wp:positionH>
          <wp:positionV relativeFrom="paragraph">
            <wp:posOffset>-370205</wp:posOffset>
          </wp:positionV>
          <wp:extent cx="877570" cy="788670"/>
          <wp:effectExtent l="0" t="0" r="17780" b="11430"/>
          <wp:wrapNone/>
          <wp:docPr id="1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57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黑体" w:hAnsi="黑体" w:eastAsia="黑体" w:cs="黑体"/>
        <w:sz w:val="18"/>
        <w:szCs w:val="18"/>
      </w:rPr>
      <w:t>安徽中青检验认证服务有限公司</w:t>
    </w:r>
    <w:r>
      <w:rPr>
        <w:rFonts w:hint="eastAsia" w:ascii="黑体" w:hAnsi="黑体" w:eastAsia="黑体" w:cs="黑体"/>
        <w:sz w:val="18"/>
        <w:szCs w:val="18"/>
        <w:lang w:val="en-US" w:eastAsia="zh-CN"/>
      </w:rPr>
      <w:t xml:space="preserve">                                               文件编号：</w:t>
    </w:r>
    <w:r>
      <w:rPr>
        <w:rFonts w:hint="eastAsia" w:ascii="黑体" w:hAnsi="黑体" w:eastAsia="黑体" w:cs="黑体"/>
        <w:sz w:val="18"/>
        <w:szCs w:val="18"/>
      </w:rPr>
      <w:t>ZQRZ-</w:t>
    </w:r>
    <w:r>
      <w:rPr>
        <w:rFonts w:hint="eastAsia" w:ascii="黑体" w:hAnsi="黑体" w:eastAsia="黑体" w:cs="黑体"/>
        <w:sz w:val="18"/>
        <w:szCs w:val="18"/>
        <w:lang w:val="en-US" w:eastAsia="zh-CN"/>
      </w:rPr>
      <w:t>JL</w:t>
    </w:r>
    <w:r>
      <w:rPr>
        <w:rFonts w:hint="eastAsia" w:ascii="黑体" w:hAnsi="黑体" w:eastAsia="黑体" w:cs="黑体"/>
        <w:sz w:val="18"/>
        <w:szCs w:val="18"/>
      </w:rPr>
      <w:t>0</w:t>
    </w:r>
    <w:r>
      <w:rPr>
        <w:rFonts w:hint="eastAsia" w:ascii="黑体" w:hAnsi="黑体" w:eastAsia="黑体" w:cs="黑体"/>
        <w:sz w:val="18"/>
        <w:szCs w:val="18"/>
        <w:lang w:val="en-US" w:eastAsia="zh-CN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F079A3"/>
    <w:multiLevelType w:val="singleLevel"/>
    <w:tmpl w:val="A9F079A3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9135A"/>
    <w:rsid w:val="010A11BF"/>
    <w:rsid w:val="014063FE"/>
    <w:rsid w:val="01747E56"/>
    <w:rsid w:val="02401AAE"/>
    <w:rsid w:val="03F57084"/>
    <w:rsid w:val="057A17B3"/>
    <w:rsid w:val="05A50F26"/>
    <w:rsid w:val="05AF3B52"/>
    <w:rsid w:val="061316ED"/>
    <w:rsid w:val="07384756"/>
    <w:rsid w:val="079923C4"/>
    <w:rsid w:val="08F319ED"/>
    <w:rsid w:val="09B94F9F"/>
    <w:rsid w:val="09CE47C7"/>
    <w:rsid w:val="0A2368BD"/>
    <w:rsid w:val="0A3108AB"/>
    <w:rsid w:val="0C032502"/>
    <w:rsid w:val="0C2F1549"/>
    <w:rsid w:val="0C741652"/>
    <w:rsid w:val="0CF84031"/>
    <w:rsid w:val="0DA11FD2"/>
    <w:rsid w:val="0DA84B60"/>
    <w:rsid w:val="0ECC7523"/>
    <w:rsid w:val="0FC63F72"/>
    <w:rsid w:val="136046DE"/>
    <w:rsid w:val="141352AC"/>
    <w:rsid w:val="152115EE"/>
    <w:rsid w:val="175F7E92"/>
    <w:rsid w:val="18EA6F23"/>
    <w:rsid w:val="190E24E6"/>
    <w:rsid w:val="1C7F7983"/>
    <w:rsid w:val="228E43C8"/>
    <w:rsid w:val="22BC4ED3"/>
    <w:rsid w:val="23C16199"/>
    <w:rsid w:val="25A4045A"/>
    <w:rsid w:val="26284BE7"/>
    <w:rsid w:val="27C43035"/>
    <w:rsid w:val="280C052B"/>
    <w:rsid w:val="28B60BD0"/>
    <w:rsid w:val="2AB253C7"/>
    <w:rsid w:val="2B3202B6"/>
    <w:rsid w:val="2BD375CA"/>
    <w:rsid w:val="2C8763E0"/>
    <w:rsid w:val="2CDD4252"/>
    <w:rsid w:val="2CFA4E04"/>
    <w:rsid w:val="2D597D7C"/>
    <w:rsid w:val="2DFC7B48"/>
    <w:rsid w:val="302C4F79"/>
    <w:rsid w:val="31692558"/>
    <w:rsid w:val="32075190"/>
    <w:rsid w:val="352E5F92"/>
    <w:rsid w:val="35415CC5"/>
    <w:rsid w:val="37CB1876"/>
    <w:rsid w:val="397C3D0A"/>
    <w:rsid w:val="399D7242"/>
    <w:rsid w:val="3B2A4923"/>
    <w:rsid w:val="3B4A33FA"/>
    <w:rsid w:val="3B802300"/>
    <w:rsid w:val="3BDB3AA5"/>
    <w:rsid w:val="3CBB46AB"/>
    <w:rsid w:val="3E39728F"/>
    <w:rsid w:val="3F917849"/>
    <w:rsid w:val="40B732E0"/>
    <w:rsid w:val="410A1661"/>
    <w:rsid w:val="41E225DE"/>
    <w:rsid w:val="435E0075"/>
    <w:rsid w:val="439B47F3"/>
    <w:rsid w:val="45AC718B"/>
    <w:rsid w:val="493F0316"/>
    <w:rsid w:val="49690EEF"/>
    <w:rsid w:val="4C0A7D9E"/>
    <w:rsid w:val="4C4C5224"/>
    <w:rsid w:val="4C641420"/>
    <w:rsid w:val="4CD46FC7"/>
    <w:rsid w:val="4E1C4782"/>
    <w:rsid w:val="4EC214D9"/>
    <w:rsid w:val="4F840831"/>
    <w:rsid w:val="506568B4"/>
    <w:rsid w:val="53BD2563"/>
    <w:rsid w:val="53F57F4F"/>
    <w:rsid w:val="55653BD0"/>
    <w:rsid w:val="55C4407D"/>
    <w:rsid w:val="55EE10FA"/>
    <w:rsid w:val="564B3E56"/>
    <w:rsid w:val="57FA3D86"/>
    <w:rsid w:val="59F829AE"/>
    <w:rsid w:val="5B962018"/>
    <w:rsid w:val="5CD54DC2"/>
    <w:rsid w:val="5D9A1D0A"/>
    <w:rsid w:val="5EA1201C"/>
    <w:rsid w:val="5F3B6A32"/>
    <w:rsid w:val="606B6E69"/>
    <w:rsid w:val="616576E2"/>
    <w:rsid w:val="63734902"/>
    <w:rsid w:val="64340620"/>
    <w:rsid w:val="66342B59"/>
    <w:rsid w:val="6642662D"/>
    <w:rsid w:val="66711FD5"/>
    <w:rsid w:val="69117181"/>
    <w:rsid w:val="6B741C4A"/>
    <w:rsid w:val="6D6C245D"/>
    <w:rsid w:val="6EC575B5"/>
    <w:rsid w:val="6EE844E0"/>
    <w:rsid w:val="6F141779"/>
    <w:rsid w:val="6FAD1286"/>
    <w:rsid w:val="6FCA008A"/>
    <w:rsid w:val="6FFD045F"/>
    <w:rsid w:val="718524BB"/>
    <w:rsid w:val="737547B1"/>
    <w:rsid w:val="737A1DC7"/>
    <w:rsid w:val="73E116A6"/>
    <w:rsid w:val="73F6144E"/>
    <w:rsid w:val="75023E22"/>
    <w:rsid w:val="75C80BC8"/>
    <w:rsid w:val="75F145C2"/>
    <w:rsid w:val="767C19B2"/>
    <w:rsid w:val="76B61368"/>
    <w:rsid w:val="77316C41"/>
    <w:rsid w:val="776A3A86"/>
    <w:rsid w:val="784667F3"/>
    <w:rsid w:val="78AB718F"/>
    <w:rsid w:val="78BD3ABE"/>
    <w:rsid w:val="78CF24CB"/>
    <w:rsid w:val="7936053E"/>
    <w:rsid w:val="7AB12572"/>
    <w:rsid w:val="7B1E318B"/>
    <w:rsid w:val="7ED22AB7"/>
    <w:rsid w:val="7F250E39"/>
    <w:rsid w:val="7FBB79EF"/>
    <w:rsid w:val="7FE5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 w:val="0"/>
      <w:spacing w:line="240" w:lineRule="atLeast"/>
      <w:jc w:val="center"/>
      <w:textAlignment w:val="baseline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1151</Words>
  <Characters>1303</Characters>
  <Lines>0</Lines>
  <Paragraphs>0</Paragraphs>
  <TotalTime>9</TotalTime>
  <ScaleCrop>false</ScaleCrop>
  <LinksUpToDate>false</LinksUpToDate>
  <CharactersWithSpaces>1854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2026-09-05T05:42:00Z</dcterms:created>
  <dc:creator>Administrator</dc:creator>
  <cp:lastModifiedBy>薇薇</cp:lastModifiedBy>
  <dcterms:modified xsi:type="dcterms:W3CDTF">2026-09-24T06:04:02Z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eyJoZGlkIjoiYjI3NzFlZWViMjRkMGQzNGU5NGMxMDhmNzMwZDQwNTIiLCJ1c2VySWQiOiI0NzM1NDU3NTEifQ==</vt:lpwstr>
  </property>
  <property fmtid="{D5CDD505-2E9C-101B-9397-08002B2CF9AE}" pid="4" name="ICV">
    <vt:lpwstr>94BDA56AD9184CC1BBA5D58BC2B7935F_12</vt:lpwstr>
  </property>
</Properties>
</file>